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tabs>
          <w:tab w:val="left" w:pos="5103"/>
        </w:tabs>
        <w:jc w:val="center"/>
        <w:rPr>
          <w:rFonts w:ascii="Cambria" w:eastAsia="Arial" w:hAnsi="Cambria" w:cs="Arial"/>
          <w:b/>
          <w:sz w:val="24"/>
          <w:szCs w:val="24"/>
        </w:rPr>
      </w:pPr>
      <w:bookmarkStart w:id="0" w:name="_Hlk209454837"/>
      <w:r>
        <w:rPr>
          <w:rFonts w:ascii="Cambria" w:eastAsia="Arial" w:hAnsi="Cambria" w:cs="Arial"/>
          <w:b/>
          <w:sz w:val="24"/>
          <w:szCs w:val="24"/>
        </w:rPr>
        <w:t>TERMO DE EDITAL</w:t>
      </w:r>
    </w:p>
    <w:p>
      <w:pPr>
        <w:tabs>
          <w:tab w:val="left" w:pos="5103"/>
        </w:tabs>
        <w:jc w:val="center"/>
        <w:rPr>
          <w:rFonts w:ascii="Cambria" w:eastAsia="Arial" w:hAnsi="Cambria" w:cs="Arial"/>
          <w:b/>
          <w:sz w:val="24"/>
          <w:szCs w:val="24"/>
        </w:rPr>
      </w:pPr>
      <w:r>
        <w:rPr>
          <w:rFonts w:ascii="Cambria" w:eastAsia="Arial" w:hAnsi="Cambria" w:cs="Arial"/>
          <w:b/>
          <w:sz w:val="24"/>
          <w:szCs w:val="24"/>
        </w:rPr>
        <w:t>PREGÃO ELETRÔNICO Nº 90007/2026 - PE</w:t>
      </w:r>
    </w:p>
    <w:tbl>
      <w:tblPr>
        <w:tblW w:w="10057"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16"/>
          <w:jc w:val="center"/>
        </w:trPr>
        <w:tc>
          <w:tcPr>
            <w:tcW w:w="10057"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color w:val="FFFFFF" w:themeColor="background1"/>
                <w:sz w:val="20"/>
                <w:szCs w:val="20"/>
              </w:rPr>
              <w:t>PARTE ESPECÍFICA (QUADRO DE RESUMO)</w:t>
            </w:r>
          </w:p>
        </w:tc>
      </w:tr>
    </w:tbl>
    <w:p>
      <w:pPr>
        <w:tabs>
          <w:tab w:val="left" w:pos="5103"/>
        </w:tabs>
        <w:ind w:left="68"/>
        <w:jc w:val="center"/>
        <w:rPr>
          <w:rFonts w:ascii="Cambria" w:eastAsia="Arial" w:hAnsi="Cambria" w:cs="Arial"/>
          <w:sz w:val="20"/>
          <w:szCs w:val="20"/>
        </w:rPr>
      </w:pPr>
    </w:p>
    <w:tbl>
      <w:tblPr>
        <w:tblW w:w="10062"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717"/>
        <w:gridCol w:w="1394"/>
        <w:gridCol w:w="1441"/>
        <w:gridCol w:w="2126"/>
        <w:gridCol w:w="1843"/>
        <w:gridCol w:w="1541"/>
      </w:tblGrid>
      <w:tr>
        <w:trPr>
          <w:trHeight w:val="228"/>
          <w:jc w:val="center"/>
        </w:trPr>
        <w:tc>
          <w:tcPr>
            <w:tcW w:w="1717"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1.MODALIDADE</w:t>
            </w:r>
          </w:p>
        </w:tc>
        <w:tc>
          <w:tcPr>
            <w:tcW w:w="1394"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2.FORMATO</w:t>
            </w:r>
          </w:p>
        </w:tc>
        <w:tc>
          <w:tcPr>
            <w:tcW w:w="1441"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3.Nº DO PROCESSO</w:t>
            </w:r>
          </w:p>
        </w:tc>
        <w:tc>
          <w:tcPr>
            <w:tcW w:w="2126"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4.ENDEREÇO/LOCAL DA DISPUTA:</w:t>
            </w:r>
          </w:p>
        </w:tc>
        <w:tc>
          <w:tcPr>
            <w:tcW w:w="1843"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5.NÚMERO NO “COMPRAS GOV”:</w:t>
            </w:r>
          </w:p>
        </w:tc>
        <w:tc>
          <w:tcPr>
            <w:tcW w:w="1541"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6. NÚMERO DA UASG</w:t>
            </w:r>
          </w:p>
        </w:tc>
      </w:tr>
      <w:tr>
        <w:trPr>
          <w:trHeight w:val="525"/>
          <w:jc w:val="center"/>
        </w:trPr>
        <w:tc>
          <w:tcPr>
            <w:tcW w:w="1717" w:type="dxa"/>
            <w:vAlign w:val="center"/>
          </w:tcPr>
          <w:p>
            <w:pPr>
              <w:tabs>
                <w:tab w:val="left" w:pos="5103"/>
              </w:tabs>
              <w:jc w:val="center"/>
              <w:rPr>
                <w:rFonts w:ascii="Cambria" w:eastAsia="Arial" w:hAnsi="Cambria" w:cs="Arial"/>
                <w:sz w:val="20"/>
                <w:szCs w:val="20"/>
              </w:rPr>
            </w:pPr>
            <w:r>
              <w:rPr>
                <w:rFonts w:ascii="Cambria" w:eastAsia="Arial" w:hAnsi="Cambria" w:cs="Arial"/>
                <w:sz w:val="20"/>
                <w:szCs w:val="20"/>
              </w:rPr>
              <w:t>PREGÃO</w:t>
            </w:r>
          </w:p>
        </w:tc>
        <w:tc>
          <w:tcPr>
            <w:tcW w:w="1394" w:type="dxa"/>
            <w:vAlign w:val="center"/>
          </w:tcPr>
          <w:p>
            <w:pPr>
              <w:tabs>
                <w:tab w:val="left" w:pos="5103"/>
              </w:tabs>
              <w:jc w:val="center"/>
              <w:rPr>
                <w:rFonts w:ascii="Cambria" w:eastAsia="Arial" w:hAnsi="Cambria" w:cs="Arial"/>
                <w:color w:val="000000"/>
                <w:sz w:val="20"/>
                <w:szCs w:val="20"/>
              </w:rPr>
            </w:pPr>
            <w:r>
              <w:rPr>
                <w:rFonts w:ascii="Cambria" w:eastAsia="Arial" w:hAnsi="Cambria" w:cs="Arial"/>
                <w:sz w:val="20"/>
                <w:szCs w:val="20"/>
              </w:rPr>
              <w:t>ELETRÔNICO</w:t>
            </w:r>
          </w:p>
        </w:tc>
        <w:tc>
          <w:tcPr>
            <w:tcW w:w="1441" w:type="dxa"/>
            <w:vAlign w:val="center"/>
          </w:tcPr>
          <w:p>
            <w:pPr>
              <w:tabs>
                <w:tab w:val="left" w:pos="5103"/>
              </w:tabs>
              <w:jc w:val="center"/>
              <w:rPr>
                <w:rFonts w:ascii="Cambria" w:eastAsia="Arial" w:hAnsi="Cambria" w:cs="Arial"/>
                <w:sz w:val="20"/>
                <w:szCs w:val="20"/>
              </w:rPr>
            </w:pPr>
            <w:r>
              <w:rPr>
                <w:rFonts w:ascii="Cambria" w:hAnsi="Cambria" w:cstheme="majorHAnsi"/>
                <w:sz w:val="20"/>
                <w:szCs w:val="20"/>
              </w:rPr>
              <w:t>90007/2026 - PE</w:t>
            </w:r>
          </w:p>
        </w:tc>
        <w:tc>
          <w:tcPr>
            <w:tcW w:w="2126" w:type="dxa"/>
            <w:vAlign w:val="center"/>
          </w:tcPr>
          <w:p>
            <w:pPr>
              <w:tabs>
                <w:tab w:val="left" w:pos="5103"/>
              </w:tabs>
              <w:jc w:val="center"/>
              <w:rPr>
                <w:rFonts w:ascii="Cambria" w:eastAsia="Arial" w:hAnsi="Cambria" w:cs="Arial"/>
                <w:sz w:val="20"/>
                <w:szCs w:val="20"/>
              </w:rPr>
            </w:pPr>
            <w:r>
              <w:rPr>
                <w:rFonts w:ascii="Cambria" w:eastAsia="Arial" w:hAnsi="Cambria" w:cs="Arial"/>
                <w:sz w:val="20"/>
                <w:szCs w:val="20"/>
              </w:rPr>
              <w:t>www.compras.gov.br</w:t>
            </w:r>
          </w:p>
          <w:p>
            <w:pPr>
              <w:tabs>
                <w:tab w:val="left" w:pos="5103"/>
              </w:tabs>
              <w:jc w:val="center"/>
              <w:rPr>
                <w:rFonts w:ascii="Cambria" w:eastAsia="Arial" w:hAnsi="Cambria" w:cs="Arial"/>
                <w:sz w:val="20"/>
                <w:szCs w:val="20"/>
              </w:rPr>
            </w:pPr>
            <w:r>
              <w:rPr>
                <w:rFonts w:ascii="Cambria" w:eastAsia="Arial" w:hAnsi="Cambria" w:cs="Arial"/>
                <w:sz w:val="20"/>
                <w:szCs w:val="20"/>
              </w:rPr>
              <w:t>(Compras Gov)</w:t>
            </w:r>
          </w:p>
        </w:tc>
        <w:tc>
          <w:tcPr>
            <w:tcW w:w="1843" w:type="dxa"/>
            <w:vAlign w:val="center"/>
          </w:tcPr>
          <w:p>
            <w:pPr>
              <w:tabs>
                <w:tab w:val="left" w:pos="5103"/>
              </w:tabs>
              <w:jc w:val="center"/>
              <w:rPr>
                <w:rFonts w:ascii="Cambria" w:eastAsia="Arial" w:hAnsi="Cambria" w:cs="Arial"/>
                <w:sz w:val="20"/>
                <w:szCs w:val="20"/>
              </w:rPr>
            </w:pPr>
            <w:r>
              <w:rPr>
                <w:rFonts w:ascii="Cambria" w:hAnsi="Cambria" w:cstheme="majorHAnsi"/>
                <w:sz w:val="20"/>
                <w:szCs w:val="20"/>
              </w:rPr>
              <w:t>90007/2026 - PE</w:t>
            </w:r>
          </w:p>
        </w:tc>
        <w:tc>
          <w:tcPr>
            <w:tcW w:w="1541" w:type="dxa"/>
            <w:vAlign w:val="center"/>
          </w:tcPr>
          <w:p>
            <w:pPr>
              <w:tabs>
                <w:tab w:val="left" w:pos="5103"/>
              </w:tabs>
              <w:jc w:val="center"/>
              <w:rPr>
                <w:rFonts w:ascii="Cambria" w:eastAsia="Arial" w:hAnsi="Cambria" w:cs="Arial"/>
                <w:sz w:val="20"/>
                <w:szCs w:val="20"/>
                <w:highlight w:val="yellow"/>
              </w:rPr>
            </w:pPr>
            <w:r>
              <w:rPr>
                <w:rFonts w:ascii="Cambria" w:eastAsia="Arial" w:hAnsi="Cambria" w:cs="Arial"/>
                <w:sz w:val="20"/>
                <w:szCs w:val="20"/>
              </w:rPr>
              <w:t>981263</w:t>
            </w:r>
          </w:p>
        </w:tc>
      </w:tr>
    </w:tbl>
    <w:p>
      <w:pPr>
        <w:tabs>
          <w:tab w:val="left" w:pos="5103"/>
        </w:tabs>
        <w:ind w:left="68"/>
        <w:jc w:val="center"/>
        <w:rPr>
          <w:rFonts w:ascii="Cambria" w:eastAsia="Arial" w:hAnsi="Cambria" w:cs="Arial"/>
          <w:sz w:val="20"/>
          <w:szCs w:val="20"/>
        </w:rPr>
      </w:pPr>
    </w:p>
    <w:tbl>
      <w:tblPr>
        <w:tblW w:w="10057"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315"/>
          <w:jc w:val="center"/>
        </w:trPr>
        <w:tc>
          <w:tcPr>
            <w:tcW w:w="10057" w:type="dxa"/>
            <w:shd w:val="clear" w:color="auto" w:fill="000099"/>
            <w:vAlign w:val="center"/>
          </w:tcPr>
          <w:p>
            <w:pPr>
              <w:tabs>
                <w:tab w:val="left" w:pos="5103"/>
              </w:tabs>
              <w:rPr>
                <w:rFonts w:ascii="Cambria" w:eastAsia="Arial" w:hAnsi="Cambria" w:cs="Arial"/>
                <w:b/>
                <w:sz w:val="20"/>
                <w:szCs w:val="20"/>
              </w:rPr>
            </w:pPr>
            <w:r>
              <w:rPr>
                <w:rFonts w:ascii="Cambria" w:eastAsia="Arial" w:hAnsi="Cambria" w:cs="Arial"/>
                <w:b/>
                <w:sz w:val="20"/>
                <w:szCs w:val="20"/>
              </w:rPr>
              <w:t>7.OBETO:</w:t>
            </w:r>
          </w:p>
        </w:tc>
      </w:tr>
      <w:tr>
        <w:trPr>
          <w:trHeight w:val="829"/>
          <w:jc w:val="center"/>
        </w:trPr>
        <w:tc>
          <w:tcPr>
            <w:tcW w:w="10057" w:type="dxa"/>
            <w:vAlign w:val="center"/>
          </w:tcPr>
          <w:p>
            <w:pPr>
              <w:tabs>
                <w:tab w:val="left" w:pos="5103"/>
              </w:tabs>
              <w:jc w:val="both"/>
              <w:rPr>
                <w:rFonts w:ascii="Cambria" w:eastAsia="Arial" w:hAnsi="Cambria" w:cs="Arial"/>
                <w:sz w:val="20"/>
                <w:szCs w:val="20"/>
              </w:rPr>
            </w:pPr>
            <w:bookmarkStart w:id="1" w:name="_heading=h.30j0zll" w:colFirst="0" w:colLast="0"/>
            <w:bookmarkEnd w:id="1"/>
            <w:r>
              <w:rPr>
                <w:rFonts w:ascii="Cambria" w:eastAsia="Arial" w:hAnsi="Cambria" w:cs="Arial"/>
                <w:sz w:val="20"/>
                <w:szCs w:val="20"/>
              </w:rPr>
              <w:t>AQUISIÇÃO DE EQUIPAMENTOS PARA ACADEMIA AO AR LIVRE, DE INTERESSE DA SECRETARIA DE INFRAESTRUTURA E SERVIÇOS PÚBLICOS DE MIRAÍMA/CE.</w:t>
            </w:r>
            <w:r>
              <w:rPr>
                <w:rFonts w:ascii="Cambria" w:eastAsia="Arial" w:hAnsi="Cambria" w:cs="Arial"/>
                <w:sz w:val="20"/>
                <w:szCs w:val="20"/>
              </w:rPr>
              <w:tab/>
            </w:r>
          </w:p>
        </w:tc>
      </w:tr>
    </w:tbl>
    <w:p>
      <w:pPr>
        <w:tabs>
          <w:tab w:val="left" w:pos="5103"/>
        </w:tabs>
        <w:ind w:left="68"/>
        <w:jc w:val="center"/>
        <w:rPr>
          <w:rFonts w:ascii="Cambria" w:eastAsia="Arial" w:hAnsi="Cambria" w:cs="Arial"/>
          <w:sz w:val="20"/>
          <w:szCs w:val="20"/>
        </w:rPr>
      </w:pPr>
    </w:p>
    <w:tbl>
      <w:tblPr>
        <w:tblW w:w="10057"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2518"/>
        <w:gridCol w:w="1559"/>
        <w:gridCol w:w="1727"/>
        <w:gridCol w:w="1985"/>
        <w:gridCol w:w="2268"/>
      </w:tblGrid>
      <w:tr>
        <w:trPr>
          <w:trHeight w:val="291"/>
          <w:jc w:val="center"/>
        </w:trPr>
        <w:tc>
          <w:tcPr>
            <w:tcW w:w="2518"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8.DATA DA ABERTURA:</w:t>
            </w:r>
          </w:p>
        </w:tc>
        <w:tc>
          <w:tcPr>
            <w:tcW w:w="1559"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9.HORA DA ABERTURA</w:t>
            </w:r>
          </w:p>
        </w:tc>
        <w:tc>
          <w:tcPr>
            <w:tcW w:w="1727"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10.TIPO:</w:t>
            </w:r>
          </w:p>
        </w:tc>
        <w:tc>
          <w:tcPr>
            <w:tcW w:w="1985"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11.CRITÉRIO DE JULGAMENTO:</w:t>
            </w:r>
          </w:p>
        </w:tc>
        <w:tc>
          <w:tcPr>
            <w:tcW w:w="2268" w:type="dxa"/>
            <w:shd w:val="clear" w:color="auto" w:fill="000099"/>
            <w:vAlign w:val="center"/>
          </w:tcPr>
          <w:p>
            <w:pPr>
              <w:tabs>
                <w:tab w:val="left" w:pos="5103"/>
              </w:tabs>
              <w:jc w:val="center"/>
              <w:rPr>
                <w:rFonts w:ascii="Cambria" w:eastAsia="Arial" w:hAnsi="Cambria" w:cs="Arial"/>
                <w:b/>
                <w:sz w:val="20"/>
                <w:szCs w:val="20"/>
              </w:rPr>
            </w:pPr>
            <w:r>
              <w:rPr>
                <w:rFonts w:ascii="Cambria" w:eastAsia="Arial" w:hAnsi="Cambria" w:cs="Arial"/>
                <w:b/>
                <w:sz w:val="20"/>
                <w:szCs w:val="20"/>
              </w:rPr>
              <w:t>12.MODO DE DISPUTA</w:t>
            </w:r>
          </w:p>
        </w:tc>
      </w:tr>
      <w:tr>
        <w:trPr>
          <w:trHeight w:val="291"/>
          <w:jc w:val="center"/>
        </w:trPr>
        <w:tc>
          <w:tcPr>
            <w:tcW w:w="2518" w:type="dxa"/>
            <w:vAlign w:val="center"/>
          </w:tcPr>
          <w:p>
            <w:pPr>
              <w:tabs>
                <w:tab w:val="left" w:pos="5103"/>
              </w:tabs>
              <w:jc w:val="center"/>
              <w:rPr>
                <w:rFonts w:ascii="Cambria" w:eastAsia="Arial" w:hAnsi="Cambria" w:cs="Arial"/>
                <w:b/>
                <w:sz w:val="20"/>
                <w:szCs w:val="20"/>
              </w:rPr>
            </w:pPr>
            <w:r>
              <w:rPr>
                <w:rFonts w:ascii="Cambria" w:eastAsia="Arial" w:hAnsi="Cambria" w:cs="Arial"/>
                <w:sz w:val="20"/>
                <w:szCs w:val="20"/>
              </w:rPr>
              <w:t>28 de Maio de 2026</w:t>
            </w:r>
          </w:p>
        </w:tc>
        <w:tc>
          <w:tcPr>
            <w:tcW w:w="1559" w:type="dxa"/>
            <w:vAlign w:val="center"/>
          </w:tcPr>
          <w:p>
            <w:pPr>
              <w:tabs>
                <w:tab w:val="left" w:pos="5103"/>
              </w:tabs>
              <w:jc w:val="center"/>
              <w:rPr>
                <w:rFonts w:ascii="Cambria" w:eastAsia="Arial" w:hAnsi="Cambria" w:cs="Arial"/>
                <w:b/>
                <w:sz w:val="20"/>
                <w:szCs w:val="20"/>
              </w:rPr>
            </w:pPr>
            <w:r>
              <w:rPr>
                <w:rFonts w:ascii="Cambria" w:eastAsia="Arial" w:hAnsi="Cambria" w:cs="Arial"/>
                <w:sz w:val="20"/>
                <w:szCs w:val="20"/>
              </w:rPr>
              <w:t>09:00H</w:t>
            </w:r>
          </w:p>
        </w:tc>
        <w:tc>
          <w:tcPr>
            <w:tcW w:w="1727" w:type="dxa"/>
            <w:vAlign w:val="center"/>
          </w:tcPr>
          <w:p>
            <w:pPr>
              <w:tabs>
                <w:tab w:val="left" w:pos="5103"/>
              </w:tabs>
              <w:jc w:val="center"/>
              <w:rPr>
                <w:rFonts w:ascii="Cambria" w:eastAsia="Arial" w:hAnsi="Cambria" w:cs="Arial"/>
                <w:b/>
                <w:sz w:val="20"/>
                <w:szCs w:val="20"/>
              </w:rPr>
            </w:pPr>
            <w:r>
              <w:rPr>
                <w:rFonts w:ascii="Cambria" w:eastAsia="Arial" w:hAnsi="Cambria" w:cs="Arial"/>
                <w:sz w:val="20"/>
                <w:szCs w:val="20"/>
              </w:rPr>
              <w:t>MENOR PREÇO</w:t>
            </w:r>
          </w:p>
        </w:tc>
        <w:tc>
          <w:tcPr>
            <w:tcW w:w="1985" w:type="dxa"/>
            <w:vAlign w:val="center"/>
          </w:tcPr>
          <w:p>
            <w:pPr>
              <w:tabs>
                <w:tab w:val="left" w:pos="5103"/>
              </w:tabs>
              <w:jc w:val="center"/>
              <w:rPr>
                <w:rFonts w:ascii="Cambria" w:eastAsia="Arial" w:hAnsi="Cambria" w:cs="Arial"/>
                <w:b/>
                <w:sz w:val="20"/>
                <w:szCs w:val="20"/>
              </w:rPr>
            </w:pPr>
            <w:r>
              <w:rPr>
                <w:rFonts w:ascii="Cambria" w:eastAsia="Arial" w:hAnsi="Cambria" w:cs="Arial"/>
                <w:sz w:val="20"/>
                <w:szCs w:val="20"/>
              </w:rPr>
              <w:t xml:space="preserve">GLOBAL </w:t>
            </w:r>
          </w:p>
        </w:tc>
        <w:tc>
          <w:tcPr>
            <w:tcW w:w="2268" w:type="dxa"/>
            <w:vAlign w:val="center"/>
          </w:tcPr>
          <w:p>
            <w:pPr>
              <w:tabs>
                <w:tab w:val="left" w:pos="5103"/>
              </w:tabs>
              <w:jc w:val="center"/>
              <w:rPr>
                <w:rFonts w:ascii="Cambria" w:eastAsia="Arial" w:hAnsi="Cambria" w:cs="Arial"/>
                <w:b/>
                <w:sz w:val="20"/>
                <w:szCs w:val="20"/>
              </w:rPr>
            </w:pPr>
            <w:r>
              <w:rPr>
                <w:rFonts w:ascii="Cambria" w:eastAsia="Arial" w:hAnsi="Cambria" w:cs="Arial"/>
                <w:sz w:val="20"/>
                <w:szCs w:val="20"/>
              </w:rPr>
              <w:t>ABERTO</w:t>
            </w:r>
          </w:p>
        </w:tc>
      </w:tr>
      <w:tr>
        <w:trPr>
          <w:trHeight w:val="291"/>
          <w:jc w:val="center"/>
        </w:trPr>
        <w:tc>
          <w:tcPr>
            <w:tcW w:w="10057" w:type="dxa"/>
            <w:gridSpan w:val="5"/>
            <w:vAlign w:val="center"/>
          </w:tcPr>
          <w:p>
            <w:pPr>
              <w:tabs>
                <w:tab w:val="left" w:pos="5103"/>
              </w:tabs>
              <w:jc w:val="both"/>
              <w:rPr>
                <w:rFonts w:ascii="Cambria" w:eastAsia="Arial" w:hAnsi="Cambria" w:cs="Arial"/>
                <w:sz w:val="20"/>
                <w:szCs w:val="20"/>
              </w:rPr>
            </w:pPr>
            <w:r>
              <w:rPr>
                <w:rFonts w:ascii="Cambria" w:eastAsia="Arial" w:hAnsi="Cambria" w:cs="Arial"/>
                <w:sz w:val="20"/>
                <w:szCs w:val="20"/>
              </w:rPr>
              <w:t>Referência de Tempo: para todas as referências de tempo utilizadas pelo sistema será observado o horário de Brasília/DF.</w:t>
            </w:r>
          </w:p>
        </w:tc>
      </w:tr>
    </w:tbl>
    <w:p>
      <w:pPr>
        <w:tabs>
          <w:tab w:val="left" w:pos="5103"/>
        </w:tabs>
        <w:jc w:val="both"/>
        <w:rPr>
          <w:rFonts w:ascii="Cambria" w:eastAsia="Arial" w:hAnsi="Cambria" w:cs="Arial"/>
          <w:sz w:val="20"/>
          <w:szCs w:val="20"/>
        </w:rPr>
      </w:pPr>
    </w:p>
    <w:tbl>
      <w:tblPr>
        <w:tblW w:w="10057"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98"/>
          <w:jc w:val="center"/>
        </w:trPr>
        <w:tc>
          <w:tcPr>
            <w:tcW w:w="10057" w:type="dxa"/>
            <w:shd w:val="clear" w:color="auto" w:fill="000099"/>
            <w:vAlign w:val="center"/>
          </w:tcPr>
          <w:p>
            <w:pPr>
              <w:tabs>
                <w:tab w:val="left" w:pos="5103"/>
              </w:tabs>
              <w:rPr>
                <w:rFonts w:ascii="Cambria" w:eastAsia="Arial" w:hAnsi="Cambria" w:cs="Arial"/>
                <w:b/>
                <w:sz w:val="20"/>
                <w:szCs w:val="20"/>
              </w:rPr>
            </w:pPr>
            <w:r>
              <w:rPr>
                <w:rFonts w:ascii="Cambria" w:eastAsia="Arial" w:hAnsi="Cambria" w:cs="Arial"/>
                <w:b/>
                <w:sz w:val="20"/>
                <w:szCs w:val="20"/>
              </w:rPr>
              <w:t>13.ÓRGÃO:</w:t>
            </w:r>
          </w:p>
        </w:tc>
      </w:tr>
      <w:tr>
        <w:trPr>
          <w:trHeight w:val="411"/>
          <w:jc w:val="center"/>
        </w:trPr>
        <w:tc>
          <w:tcPr>
            <w:tcW w:w="10057" w:type="dxa"/>
            <w:vAlign w:val="center"/>
          </w:tcPr>
          <w:p>
            <w:pPr>
              <w:pBdr>
                <w:top w:val="nil"/>
                <w:left w:val="nil"/>
                <w:bottom w:val="nil"/>
                <w:right w:val="nil"/>
                <w:between w:val="nil"/>
              </w:pBdr>
              <w:tabs>
                <w:tab w:val="left" w:pos="236"/>
                <w:tab w:val="left" w:pos="5103"/>
              </w:tabs>
              <w:ind w:left="22"/>
              <w:jc w:val="both"/>
              <w:rPr>
                <w:rFonts w:ascii="Cambria" w:eastAsia="Arial" w:hAnsi="Cambria" w:cs="Arial"/>
                <w:color w:val="000000"/>
                <w:sz w:val="20"/>
                <w:szCs w:val="20"/>
              </w:rPr>
            </w:pPr>
            <w:r>
              <w:rPr>
                <w:rFonts w:ascii="Cambria" w:eastAsia="Arial" w:hAnsi="Cambria" w:cs="Arial"/>
                <w:color w:val="000000"/>
                <w:sz w:val="20"/>
                <w:szCs w:val="20"/>
              </w:rPr>
              <w:t xml:space="preserve">SECRETARIA DE INFRAESTRUTURA E SERVIÇOS PÚBLICOS </w:t>
            </w:r>
          </w:p>
        </w:tc>
      </w:tr>
    </w:tbl>
    <w:p>
      <w:pPr>
        <w:tabs>
          <w:tab w:val="left" w:pos="5103"/>
        </w:tabs>
        <w:jc w:val="both"/>
        <w:rPr>
          <w:rFonts w:ascii="Cambria" w:eastAsia="Arial" w:hAnsi="Cambria" w:cs="Arial"/>
          <w:sz w:val="20"/>
          <w:szCs w:val="20"/>
        </w:rPr>
      </w:pPr>
    </w:p>
    <w:tbl>
      <w:tblPr>
        <w:tblW w:w="10031"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3085"/>
        <w:gridCol w:w="2268"/>
        <w:gridCol w:w="2126"/>
        <w:gridCol w:w="2552"/>
      </w:tblGrid>
      <w:tr>
        <w:trPr>
          <w:jc w:val="center"/>
        </w:trPr>
        <w:tc>
          <w:tcPr>
            <w:tcW w:w="3085" w:type="dxa"/>
            <w:shd w:val="clear" w:color="auto" w:fill="000099"/>
            <w:vAlign w:val="center"/>
          </w:tcPr>
          <w:p>
            <w:pPr>
              <w:tabs>
                <w:tab w:val="left" w:pos="5103"/>
              </w:tabs>
              <w:rPr>
                <w:rFonts w:ascii="Cambria" w:eastAsia="Arial" w:hAnsi="Cambria" w:cs="Arial"/>
                <w:b/>
                <w:sz w:val="20"/>
                <w:szCs w:val="20"/>
              </w:rPr>
            </w:pPr>
            <w:r>
              <w:rPr>
                <w:rFonts w:ascii="Cambria" w:eastAsia="Arial" w:hAnsi="Cambria" w:cs="Arial"/>
                <w:b/>
                <w:sz w:val="20"/>
                <w:szCs w:val="20"/>
              </w:rPr>
              <w:t>14.LICITAÇÃO EXCLUSIVA OU COM COTAS PARA ME E EPP?</w:t>
            </w:r>
          </w:p>
        </w:tc>
        <w:tc>
          <w:tcPr>
            <w:tcW w:w="2268" w:type="dxa"/>
            <w:shd w:val="clear" w:color="auto" w:fill="000099"/>
            <w:vAlign w:val="center"/>
          </w:tcPr>
          <w:p>
            <w:pPr>
              <w:tabs>
                <w:tab w:val="left" w:pos="5103"/>
              </w:tabs>
              <w:jc w:val="both"/>
              <w:rPr>
                <w:rFonts w:ascii="Cambria" w:eastAsia="Arial" w:hAnsi="Cambria" w:cs="Arial"/>
                <w:b/>
                <w:sz w:val="20"/>
                <w:szCs w:val="20"/>
              </w:rPr>
            </w:pPr>
            <w:r>
              <w:rPr>
                <w:rFonts w:ascii="Cambria" w:eastAsia="Arial" w:hAnsi="Cambria" w:cs="Arial"/>
                <w:b/>
                <w:sz w:val="20"/>
                <w:szCs w:val="20"/>
              </w:rPr>
              <w:t>15.FORNECIMENTO:</w:t>
            </w:r>
          </w:p>
        </w:tc>
        <w:tc>
          <w:tcPr>
            <w:tcW w:w="2126" w:type="dxa"/>
            <w:shd w:val="clear" w:color="auto" w:fill="000099"/>
            <w:vAlign w:val="center"/>
          </w:tcPr>
          <w:p>
            <w:pPr>
              <w:tabs>
                <w:tab w:val="left" w:pos="5103"/>
              </w:tabs>
              <w:jc w:val="both"/>
              <w:rPr>
                <w:rFonts w:ascii="Cambria" w:eastAsia="Arial" w:hAnsi="Cambria" w:cs="Arial"/>
                <w:b/>
                <w:sz w:val="20"/>
                <w:szCs w:val="20"/>
              </w:rPr>
            </w:pPr>
            <w:r>
              <w:rPr>
                <w:rFonts w:ascii="Cambria" w:eastAsia="Arial" w:hAnsi="Cambria" w:cs="Arial"/>
                <w:b/>
                <w:sz w:val="20"/>
                <w:szCs w:val="20"/>
              </w:rPr>
              <w:t>16. PRAZO PARA ENTREGA:</w:t>
            </w:r>
          </w:p>
        </w:tc>
        <w:tc>
          <w:tcPr>
            <w:tcW w:w="2552" w:type="dxa"/>
            <w:shd w:val="clear" w:color="auto" w:fill="000099"/>
            <w:vAlign w:val="center"/>
          </w:tcPr>
          <w:p>
            <w:pPr>
              <w:tabs>
                <w:tab w:val="left" w:pos="5103"/>
              </w:tabs>
              <w:jc w:val="both"/>
              <w:rPr>
                <w:rFonts w:ascii="Cambria" w:eastAsia="Arial" w:hAnsi="Cambria" w:cs="Arial"/>
                <w:b/>
                <w:sz w:val="20"/>
                <w:szCs w:val="20"/>
              </w:rPr>
            </w:pPr>
            <w:r>
              <w:rPr>
                <w:rFonts w:ascii="Cambria" w:eastAsia="Arial" w:hAnsi="Cambria" w:cs="Arial"/>
                <w:b/>
                <w:sz w:val="20"/>
                <w:szCs w:val="20"/>
              </w:rPr>
              <w:t>17.POSSIBILIDADE DE AMOSTRAS?</w:t>
            </w:r>
          </w:p>
        </w:tc>
      </w:tr>
      <w:tr>
        <w:trPr>
          <w:trHeight w:val="393"/>
          <w:jc w:val="center"/>
        </w:trPr>
        <w:tc>
          <w:tcPr>
            <w:tcW w:w="3085" w:type="dxa"/>
            <w:vAlign w:val="center"/>
          </w:tcPr>
          <w:p>
            <w:pPr>
              <w:tabs>
                <w:tab w:val="left" w:pos="5103"/>
              </w:tabs>
              <w:jc w:val="center"/>
              <w:rPr>
                <w:rFonts w:ascii="Cambria" w:eastAsia="Arial" w:hAnsi="Cambria" w:cs="Arial"/>
                <w:sz w:val="20"/>
                <w:szCs w:val="20"/>
              </w:rPr>
            </w:pPr>
            <w:r>
              <w:rPr>
                <w:rFonts w:ascii="Cambria" w:eastAsia="Arial" w:hAnsi="Cambria" w:cs="Arial"/>
                <w:sz w:val="20"/>
                <w:szCs w:val="20"/>
              </w:rPr>
              <w:t>NÃO</w:t>
            </w:r>
          </w:p>
        </w:tc>
        <w:tc>
          <w:tcPr>
            <w:tcW w:w="2268" w:type="dxa"/>
            <w:vAlign w:val="center"/>
          </w:tcPr>
          <w:p>
            <w:pPr>
              <w:tabs>
                <w:tab w:val="left" w:pos="5103"/>
              </w:tabs>
              <w:jc w:val="center"/>
              <w:rPr>
                <w:rFonts w:ascii="Cambria" w:eastAsia="Arial" w:hAnsi="Cambria" w:cs="Arial"/>
                <w:sz w:val="20"/>
                <w:szCs w:val="20"/>
              </w:rPr>
            </w:pPr>
            <w:r>
              <w:rPr>
                <w:rFonts w:ascii="Cambria" w:eastAsia="Arial" w:hAnsi="Cambria" w:cs="Arial"/>
                <w:sz w:val="20"/>
                <w:szCs w:val="20"/>
              </w:rPr>
              <w:t>ÚNICO</w:t>
            </w:r>
          </w:p>
        </w:tc>
        <w:tc>
          <w:tcPr>
            <w:tcW w:w="2126" w:type="dxa"/>
            <w:vAlign w:val="center"/>
          </w:tcPr>
          <w:p>
            <w:pPr>
              <w:tabs>
                <w:tab w:val="left" w:pos="5103"/>
              </w:tabs>
              <w:jc w:val="center"/>
              <w:rPr>
                <w:rFonts w:ascii="Cambria" w:eastAsia="Arial" w:hAnsi="Cambria" w:cs="Arial"/>
                <w:sz w:val="20"/>
                <w:szCs w:val="20"/>
              </w:rPr>
            </w:pPr>
            <w:r>
              <w:rPr>
                <w:rFonts w:ascii="Cambria" w:eastAsia="Arial" w:hAnsi="Cambria" w:cs="Arial"/>
                <w:sz w:val="20"/>
                <w:szCs w:val="20"/>
              </w:rPr>
              <w:t>ATÉ 30 (TRINTA) DIAS</w:t>
            </w:r>
          </w:p>
        </w:tc>
        <w:tc>
          <w:tcPr>
            <w:tcW w:w="2552" w:type="dxa"/>
            <w:vAlign w:val="center"/>
          </w:tcPr>
          <w:p>
            <w:pPr>
              <w:tabs>
                <w:tab w:val="left" w:pos="5103"/>
              </w:tabs>
              <w:jc w:val="center"/>
              <w:rPr>
                <w:rFonts w:ascii="Cambria" w:eastAsia="Arial" w:hAnsi="Cambria" w:cs="Arial"/>
                <w:sz w:val="20"/>
                <w:szCs w:val="20"/>
              </w:rPr>
            </w:pPr>
            <w:r>
              <w:rPr>
                <w:rFonts w:ascii="Cambria" w:eastAsia="Arial" w:hAnsi="Cambria" w:cs="Arial"/>
                <w:sz w:val="20"/>
                <w:szCs w:val="20"/>
              </w:rPr>
              <w:t>NÃO</w:t>
            </w:r>
          </w:p>
        </w:tc>
      </w:tr>
    </w:tbl>
    <w:p>
      <w:pPr>
        <w:tabs>
          <w:tab w:val="left" w:pos="5103"/>
        </w:tabs>
        <w:jc w:val="both"/>
        <w:rPr>
          <w:rFonts w:ascii="Cambria" w:eastAsia="Arial" w:hAnsi="Cambria" w:cs="Arial"/>
          <w:sz w:val="20"/>
          <w:szCs w:val="20"/>
        </w:rPr>
      </w:pPr>
    </w:p>
    <w:tbl>
      <w:tblPr>
        <w:tblW w:w="10057"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58"/>
          <w:jc w:val="center"/>
        </w:trPr>
        <w:tc>
          <w:tcPr>
            <w:tcW w:w="10057" w:type="dxa"/>
            <w:shd w:val="clear" w:color="auto" w:fill="000099"/>
            <w:vAlign w:val="center"/>
          </w:tcPr>
          <w:p>
            <w:pPr>
              <w:tabs>
                <w:tab w:val="left" w:pos="5103"/>
              </w:tabs>
              <w:jc w:val="both"/>
              <w:rPr>
                <w:rFonts w:ascii="Cambria" w:eastAsia="Arial" w:hAnsi="Cambria" w:cs="Arial"/>
                <w:b/>
                <w:sz w:val="20"/>
                <w:szCs w:val="20"/>
              </w:rPr>
            </w:pPr>
            <w:r>
              <w:rPr>
                <w:rFonts w:ascii="Cambria" w:eastAsia="Arial" w:hAnsi="Cambria" w:cs="Arial"/>
                <w:b/>
                <w:sz w:val="20"/>
                <w:szCs w:val="20"/>
              </w:rPr>
              <w:t>18.DOS ATENDIMENTOS, PEDIDOS DE ESCLARECIMENTOS, IMPUGNAÇÕES, RECURSOS E VISTAS AO PROCESSO</w:t>
            </w:r>
          </w:p>
        </w:tc>
      </w:tr>
      <w:tr>
        <w:trPr>
          <w:trHeight w:val="479"/>
          <w:jc w:val="center"/>
        </w:trPr>
        <w:tc>
          <w:tcPr>
            <w:tcW w:w="10057" w:type="dxa"/>
            <w:vAlign w:val="center"/>
          </w:tcPr>
          <w:p>
            <w:pPr>
              <w:tabs>
                <w:tab w:val="left" w:pos="5103"/>
              </w:tabs>
              <w:spacing w:line="276" w:lineRule="auto"/>
              <w:jc w:val="both"/>
              <w:rPr>
                <w:rFonts w:ascii="Cambria" w:eastAsia="Arial" w:hAnsi="Cambria" w:cs="Arial"/>
                <w:sz w:val="20"/>
                <w:szCs w:val="20"/>
              </w:rPr>
            </w:pPr>
            <w:r>
              <w:rPr>
                <w:rFonts w:ascii="Cambria" w:eastAsia="Arial" w:hAnsi="Cambria" w:cs="Arial"/>
                <w:sz w:val="20"/>
                <w:szCs w:val="20"/>
              </w:rPr>
              <w:t xml:space="preserve">Todos os </w:t>
            </w:r>
            <w:r>
              <w:rPr>
                <w:rFonts w:ascii="Cambria" w:eastAsia="Arial" w:hAnsi="Cambria" w:cs="Arial"/>
                <w:b/>
                <w:sz w:val="20"/>
                <w:szCs w:val="20"/>
              </w:rPr>
              <w:t>atendimentos</w:t>
            </w:r>
            <w:r>
              <w:rPr>
                <w:rFonts w:ascii="Cambria" w:eastAsia="Arial" w:hAnsi="Cambria" w:cs="Arial"/>
                <w:sz w:val="20"/>
                <w:szCs w:val="20"/>
              </w:rPr>
              <w:t xml:space="preserve"> e demais tratativas com o(a) Pregoeiro(a) serão realizados </w:t>
            </w:r>
            <w:r>
              <w:rPr>
                <w:rFonts w:ascii="Cambria" w:eastAsia="Arial" w:hAnsi="Cambria" w:cs="Arial"/>
                <w:b/>
                <w:sz w:val="20"/>
                <w:szCs w:val="20"/>
              </w:rPr>
              <w:t xml:space="preserve">exclusivamente </w:t>
            </w:r>
            <w:r>
              <w:rPr>
                <w:rFonts w:ascii="Cambria" w:eastAsia="Arial" w:hAnsi="Cambria" w:cs="Arial"/>
                <w:sz w:val="20"/>
                <w:szCs w:val="20"/>
              </w:rPr>
              <w:t xml:space="preserve">por meio virtual, mediante pedido formal a ser enviado através do e-mail: </w:t>
            </w:r>
            <w:r>
              <w:rPr>
                <w:rFonts w:ascii="Cambria" w:eastAsia="Arial" w:hAnsi="Cambria" w:cs="Arial"/>
                <w:b/>
                <w:sz w:val="20"/>
                <w:szCs w:val="20"/>
              </w:rPr>
              <w:t>licitacaomiraima@gmail.com</w:t>
            </w:r>
            <w:r>
              <w:rPr>
                <w:rFonts w:ascii="Cambria" w:eastAsia="Arial" w:hAnsi="Cambria" w:cs="Arial"/>
                <w:sz w:val="20"/>
                <w:szCs w:val="20"/>
              </w:rPr>
              <w:t xml:space="preserve">, assim como os </w:t>
            </w:r>
            <w:r>
              <w:rPr>
                <w:rFonts w:ascii="Cambria" w:eastAsia="Arial" w:hAnsi="Cambria" w:cs="Arial"/>
                <w:b/>
                <w:sz w:val="20"/>
                <w:szCs w:val="20"/>
              </w:rPr>
              <w:t xml:space="preserve">pedidos de esclarecimentos, impugnações, recursos e pedidos de vistas aos autos, </w:t>
            </w:r>
            <w:r>
              <w:rPr>
                <w:rFonts w:ascii="Cambria" w:eastAsia="Arial" w:hAnsi="Cambria" w:cs="Arial"/>
                <w:sz w:val="20"/>
                <w:szCs w:val="20"/>
              </w:rPr>
              <w:t>nos termos consignados no presente edital</w:t>
            </w:r>
            <w:r>
              <w:rPr>
                <w:rFonts w:ascii="Cambria" w:eastAsia="Arial" w:hAnsi="Cambria" w:cs="Arial"/>
                <w:b/>
                <w:sz w:val="20"/>
                <w:szCs w:val="20"/>
              </w:rPr>
              <w:t>.</w:t>
            </w:r>
          </w:p>
        </w:tc>
      </w:tr>
    </w:tbl>
    <w:p>
      <w:pPr>
        <w:tabs>
          <w:tab w:val="left" w:pos="5103"/>
        </w:tabs>
        <w:jc w:val="both"/>
        <w:rPr>
          <w:rFonts w:ascii="Cambria" w:eastAsia="Arial" w:hAnsi="Cambria" w:cs="Arial"/>
          <w:sz w:val="20"/>
          <w:szCs w:val="20"/>
        </w:rPr>
      </w:pPr>
    </w:p>
    <w:tbl>
      <w:tblPr>
        <w:tblW w:w="10057"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58"/>
          <w:jc w:val="center"/>
        </w:trPr>
        <w:tc>
          <w:tcPr>
            <w:tcW w:w="10057" w:type="dxa"/>
            <w:shd w:val="clear" w:color="auto" w:fill="000099"/>
            <w:vAlign w:val="center"/>
          </w:tcPr>
          <w:p>
            <w:pPr>
              <w:tabs>
                <w:tab w:val="left" w:pos="5103"/>
              </w:tabs>
              <w:jc w:val="both"/>
              <w:rPr>
                <w:rFonts w:ascii="Cambria" w:eastAsia="Arial" w:hAnsi="Cambria" w:cs="Arial"/>
                <w:b/>
                <w:sz w:val="20"/>
                <w:szCs w:val="20"/>
              </w:rPr>
            </w:pPr>
            <w:r>
              <w:rPr>
                <w:rFonts w:ascii="Cambria" w:eastAsia="Arial" w:hAnsi="Cambria" w:cs="Arial"/>
                <w:b/>
                <w:sz w:val="20"/>
                <w:szCs w:val="20"/>
              </w:rPr>
              <w:t>19.OBSERVAÇÕES IMPORTANTES E OBSERVÂNCIA OBRIGATÓRIA:</w:t>
            </w:r>
          </w:p>
        </w:tc>
      </w:tr>
      <w:tr>
        <w:trPr>
          <w:trHeight w:val="821"/>
          <w:jc w:val="center"/>
        </w:trPr>
        <w:tc>
          <w:tcPr>
            <w:tcW w:w="10057" w:type="dxa"/>
            <w:vAlign w:val="center"/>
          </w:tcPr>
          <w:p>
            <w:pPr>
              <w:numPr>
                <w:ilvl w:val="0"/>
                <w:numId w:val="25"/>
              </w:numPr>
              <w:pBdr>
                <w:top w:val="nil"/>
                <w:left w:val="nil"/>
                <w:bottom w:val="nil"/>
                <w:right w:val="nil"/>
                <w:between w:val="nil"/>
              </w:pBdr>
              <w:tabs>
                <w:tab w:val="left" w:pos="306"/>
                <w:tab w:val="left" w:pos="5103"/>
              </w:tabs>
              <w:spacing w:line="276" w:lineRule="auto"/>
              <w:ind w:left="0" w:firstLine="0"/>
              <w:jc w:val="both"/>
              <w:rPr>
                <w:rFonts w:ascii="Cambria" w:eastAsia="Arial" w:hAnsi="Cambria" w:cs="Arial"/>
                <w:color w:val="000000"/>
                <w:sz w:val="20"/>
                <w:szCs w:val="20"/>
              </w:rPr>
            </w:pPr>
            <w:r>
              <w:rPr>
                <w:rFonts w:ascii="Cambria" w:eastAsia="Arial" w:hAnsi="Cambria" w:cs="Arial"/>
                <w:color w:val="000000"/>
                <w:sz w:val="20"/>
                <w:szCs w:val="20"/>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numPr>
                <w:ilvl w:val="0"/>
                <w:numId w:val="25"/>
              </w:numPr>
              <w:pBdr>
                <w:top w:val="nil"/>
                <w:left w:val="nil"/>
                <w:bottom w:val="nil"/>
                <w:right w:val="nil"/>
                <w:between w:val="nil"/>
              </w:pBdr>
              <w:tabs>
                <w:tab w:val="left" w:pos="306"/>
                <w:tab w:val="left" w:pos="5103"/>
              </w:tabs>
              <w:spacing w:line="276" w:lineRule="auto"/>
              <w:ind w:left="0" w:firstLine="0"/>
              <w:jc w:val="both"/>
              <w:rPr>
                <w:rFonts w:ascii="Cambria" w:eastAsia="Arial" w:hAnsi="Cambria" w:cs="Arial"/>
                <w:color w:val="000000"/>
                <w:sz w:val="20"/>
                <w:szCs w:val="20"/>
              </w:rPr>
            </w:pPr>
            <w:r>
              <w:rPr>
                <w:rFonts w:ascii="Cambria" w:eastAsia="Arial" w:hAnsi="Cambria" w:cs="Arial"/>
                <w:color w:val="000000"/>
                <w:sz w:val="20"/>
                <w:szCs w:val="20"/>
              </w:rPr>
              <w:t>Existindo divergência entre as informações constantes da parte específica (quadro resumo) e dos demais campos do edital e seus anexos (parte geral), prevalecerão as informações constantes da parte específica.</w:t>
            </w:r>
          </w:p>
          <w:p>
            <w:pPr>
              <w:numPr>
                <w:ilvl w:val="0"/>
                <w:numId w:val="25"/>
              </w:numPr>
              <w:pBdr>
                <w:top w:val="nil"/>
                <w:left w:val="nil"/>
                <w:bottom w:val="nil"/>
                <w:right w:val="nil"/>
                <w:between w:val="nil"/>
              </w:pBdr>
              <w:tabs>
                <w:tab w:val="left" w:pos="306"/>
                <w:tab w:val="left" w:pos="5103"/>
              </w:tabs>
              <w:spacing w:line="276" w:lineRule="auto"/>
              <w:ind w:left="0" w:firstLine="0"/>
              <w:jc w:val="both"/>
              <w:rPr>
                <w:rFonts w:ascii="Cambria" w:eastAsia="Arial" w:hAnsi="Cambria" w:cs="Arial"/>
                <w:color w:val="000000"/>
                <w:sz w:val="20"/>
                <w:szCs w:val="20"/>
              </w:rPr>
            </w:pPr>
            <w:r>
              <w:rPr>
                <w:rFonts w:ascii="Cambria" w:eastAsia="Arial" w:hAnsi="Cambria" w:cs="Arial"/>
                <w:color w:val="000000"/>
                <w:sz w:val="20"/>
                <w:szCs w:val="20"/>
              </w:rPr>
              <w:t>Havendo discrepância entre os textos constantes do edital e seus ANEXOS, inclusive quanto a especificação dos produtos, unidades e demais detalhamentos ante aqueles constantes da plataforma “Compras Gov” prevalecerão as informações constantes do edital e seus ANEXOS.</w:t>
            </w:r>
          </w:p>
          <w:p>
            <w:pPr>
              <w:numPr>
                <w:ilvl w:val="0"/>
                <w:numId w:val="25"/>
              </w:numPr>
              <w:pBdr>
                <w:top w:val="nil"/>
                <w:left w:val="nil"/>
                <w:bottom w:val="nil"/>
                <w:right w:val="nil"/>
                <w:between w:val="nil"/>
              </w:pBdr>
              <w:tabs>
                <w:tab w:val="left" w:pos="306"/>
                <w:tab w:val="left" w:pos="5103"/>
              </w:tabs>
              <w:spacing w:line="276" w:lineRule="auto"/>
              <w:ind w:left="0" w:firstLine="0"/>
              <w:jc w:val="both"/>
              <w:rPr>
                <w:rFonts w:ascii="Cambria" w:eastAsia="Arial" w:hAnsi="Cambria" w:cs="Arial"/>
                <w:color w:val="000000"/>
                <w:sz w:val="20"/>
                <w:szCs w:val="20"/>
              </w:rPr>
            </w:pPr>
            <w:r>
              <w:rPr>
                <w:rFonts w:ascii="Cambria" w:eastAsia="Arial" w:hAnsi="Cambria" w:cs="Arial"/>
                <w:color w:val="000000"/>
                <w:sz w:val="20"/>
                <w:szCs w:val="20"/>
              </w:rPr>
              <w:t>Os Regulamentos de Licitações e Contratos da Prefeitura Municipal de Miraíma/CE, são parte integrante desse instrumento. Os regulamentos poderão ser obtido no seguinte endereço eletrônico https://www.miraima.ce.gov.br.</w:t>
            </w:r>
          </w:p>
        </w:tc>
      </w:tr>
    </w:tbl>
    <w:p>
      <w:pPr>
        <w:tabs>
          <w:tab w:val="left" w:pos="5103"/>
        </w:tabs>
        <w:jc w:val="center"/>
        <w:rPr>
          <w:rFonts w:ascii="Cambria" w:eastAsia="Arial" w:hAnsi="Cambria" w:cs="Arial"/>
          <w:b/>
          <w:sz w:val="24"/>
          <w:szCs w:val="24"/>
        </w:rPr>
      </w:pPr>
      <w:r>
        <w:rPr>
          <w:rFonts w:ascii="Cambria" w:eastAsia="Arial" w:hAnsi="Cambria" w:cs="Arial"/>
          <w:sz w:val="24"/>
          <w:szCs w:val="24"/>
        </w:rPr>
        <w:tab/>
      </w:r>
    </w:p>
    <w:p>
      <w:pPr>
        <w:tabs>
          <w:tab w:val="left" w:pos="5103"/>
        </w:tabs>
        <w:spacing w:after="200" w:line="276" w:lineRule="auto"/>
        <w:rPr>
          <w:rFonts w:ascii="Cambria" w:eastAsia="Arial" w:hAnsi="Cambria" w:cs="Arial"/>
          <w:b/>
          <w:sz w:val="24"/>
          <w:szCs w:val="24"/>
        </w:rPr>
      </w:pPr>
      <w:r>
        <w:rPr>
          <w:rFonts w:ascii="Cambria" w:hAnsi="Cambria"/>
          <w:sz w:val="24"/>
          <w:szCs w:val="24"/>
        </w:rPr>
        <w:br w:type="page"/>
      </w:r>
    </w:p>
    <w:p>
      <w:pPr>
        <w:shd w:val="clear" w:color="auto" w:fill="000099"/>
        <w:tabs>
          <w:tab w:val="center" w:pos="4873"/>
          <w:tab w:val="left" w:pos="5103"/>
          <w:tab w:val="right" w:pos="9747"/>
        </w:tabs>
        <w:rPr>
          <w:rFonts w:ascii="Cambria" w:eastAsia="Arial" w:hAnsi="Cambria" w:cs="Arial"/>
          <w:b/>
          <w:color w:val="000000"/>
          <w:sz w:val="24"/>
          <w:szCs w:val="24"/>
        </w:rPr>
      </w:pPr>
      <w:r>
        <w:rPr>
          <w:rFonts w:ascii="Cambria" w:eastAsia="Arial" w:hAnsi="Cambria" w:cs="Arial"/>
          <w:b/>
          <w:color w:val="000000"/>
          <w:sz w:val="24"/>
          <w:szCs w:val="24"/>
        </w:rPr>
        <w:lastRenderedPageBreak/>
        <w:tab/>
      </w:r>
      <w:r>
        <w:rPr>
          <w:rFonts w:ascii="Cambria" w:eastAsia="Arial" w:hAnsi="Cambria" w:cs="Arial"/>
          <w:b/>
          <w:color w:val="FFFFFF" w:themeColor="background1"/>
          <w:sz w:val="24"/>
          <w:szCs w:val="24"/>
        </w:rPr>
        <w:t>SUMÁRIO</w:t>
      </w:r>
      <w:r>
        <w:rPr>
          <w:rFonts w:ascii="Cambria" w:eastAsia="Arial" w:hAnsi="Cambria" w:cs="Arial"/>
          <w:b/>
          <w:color w:val="000000"/>
          <w:sz w:val="24"/>
          <w:szCs w:val="24"/>
        </w:rPr>
        <w:tab/>
      </w:r>
    </w:p>
    <w:p>
      <w:pPr>
        <w:tabs>
          <w:tab w:val="left" w:pos="5103"/>
        </w:tabs>
        <w:jc w:val="center"/>
        <w:rPr>
          <w:rFonts w:ascii="Cambria" w:eastAsia="Arial" w:hAnsi="Cambria" w:cs="Arial"/>
          <w:b/>
          <w:sz w:val="24"/>
          <w:szCs w:val="24"/>
        </w:rPr>
      </w:pPr>
    </w:p>
    <w:sdt>
      <w:sdtPr>
        <w:rPr>
          <w:rFonts w:ascii="Cambria" w:hAnsi="Cambria"/>
          <w:sz w:val="24"/>
          <w:szCs w:val="24"/>
        </w:rPr>
        <w:id w:val="-123776771"/>
        <w:docPartObj>
          <w:docPartGallery w:val="Table of Contents"/>
          <w:docPartUnique/>
        </w:docPartObj>
      </w:sdtPr>
      <w:sdtContent>
        <w:p>
          <w:pPr>
            <w:pBdr>
              <w:top w:val="nil"/>
              <w:left w:val="nil"/>
              <w:bottom w:val="nil"/>
              <w:right w:val="nil"/>
              <w:between w:val="nil"/>
            </w:pBdr>
            <w:tabs>
              <w:tab w:val="left" w:pos="5103"/>
              <w:tab w:val="right" w:pos="9737"/>
            </w:tabs>
            <w:spacing w:after="100"/>
            <w:rPr>
              <w:rFonts w:ascii="Cambria" w:eastAsia="Arial" w:hAnsi="Cambria" w:cs="Arial"/>
              <w:color w:val="000000"/>
              <w:sz w:val="24"/>
              <w:szCs w:val="24"/>
            </w:rPr>
          </w:pPr>
          <w:r>
            <w:rPr>
              <w:rFonts w:ascii="Cambria" w:hAnsi="Cambria"/>
              <w:sz w:val="24"/>
              <w:szCs w:val="24"/>
            </w:rPr>
            <w:fldChar w:fldCharType="begin"/>
          </w:r>
          <w:r>
            <w:rPr>
              <w:rFonts w:ascii="Cambria" w:hAnsi="Cambria"/>
              <w:sz w:val="24"/>
              <w:szCs w:val="24"/>
            </w:rPr>
            <w:instrText xml:space="preserve"> TOC \h \u \z \t "Heading 1,1,Heading 2,2,Heading 3,3,"</w:instrText>
          </w:r>
          <w:r>
            <w:rPr>
              <w:rFonts w:ascii="Cambria" w:hAnsi="Cambria"/>
              <w:sz w:val="24"/>
              <w:szCs w:val="24"/>
            </w:rPr>
            <w:fldChar w:fldCharType="separate"/>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2et92p0">
            <w:r>
              <w:rPr>
                <w:rFonts w:ascii="Cambria" w:eastAsia="Arial" w:hAnsi="Cambria" w:cs="Arial"/>
                <w:b/>
                <w:color w:val="000000"/>
                <w:sz w:val="24"/>
                <w:szCs w:val="24"/>
              </w:rPr>
              <w:t>1.</w:t>
            </w:r>
          </w:hyperlink>
          <w:hyperlink w:anchor="_heading=h.2et92p0">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_heading=h.2et92p0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DO OBJETO</w:t>
          </w:r>
          <w:r>
            <w:rPr>
              <w:rFonts w:ascii="Cambria" w:eastAsia="Arial" w:hAnsi="Cambria" w:cs="Arial"/>
              <w:b/>
              <w:color w:val="000000"/>
              <w:sz w:val="24"/>
              <w:szCs w:val="24"/>
            </w:rPr>
            <w:tab/>
            <w:t>3</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1t3h5sf">
            <w:r>
              <w:rPr>
                <w:rFonts w:ascii="Cambria" w:eastAsia="Arial" w:hAnsi="Cambria" w:cs="Arial"/>
                <w:b/>
                <w:color w:val="000000"/>
                <w:sz w:val="24"/>
                <w:szCs w:val="24"/>
              </w:rPr>
              <w:t>2.</w:t>
            </w:r>
          </w:hyperlink>
          <w:hyperlink w:anchor="_heading=h.1t3h5sf">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_heading=h.1t3h5sf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DAS FASES DO PROCESSO LICITATÓRIO</w:t>
          </w:r>
          <w:r>
            <w:rPr>
              <w:rFonts w:ascii="Cambria" w:eastAsia="Arial" w:hAnsi="Cambria" w:cs="Arial"/>
              <w:b/>
              <w:color w:val="000000"/>
              <w:sz w:val="24"/>
              <w:szCs w:val="24"/>
            </w:rPr>
            <w:tab/>
            <w:t>3</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4d34og8">
            <w:r>
              <w:rPr>
                <w:rFonts w:ascii="Cambria" w:eastAsia="Arial" w:hAnsi="Cambria" w:cs="Arial"/>
                <w:b/>
                <w:color w:val="000000"/>
                <w:sz w:val="24"/>
                <w:szCs w:val="24"/>
              </w:rPr>
              <w:t>3.</w:t>
            </w:r>
          </w:hyperlink>
          <w:hyperlink w:anchor="_heading=h.4d34og8">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_heading=h.4d34og8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DAS CONDIÇÕES PARA PARTICIPAÇÃO.</w:t>
          </w:r>
          <w:r>
            <w:rPr>
              <w:rFonts w:ascii="Cambria" w:eastAsia="Arial" w:hAnsi="Cambria" w:cs="Arial"/>
              <w:b/>
              <w:color w:val="000000"/>
              <w:sz w:val="24"/>
              <w:szCs w:val="24"/>
            </w:rPr>
            <w:tab/>
            <w:t>4</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2s8eyo1">
            <w:r>
              <w:rPr>
                <w:rFonts w:ascii="Cambria" w:eastAsia="Arial" w:hAnsi="Cambria" w:cs="Arial"/>
                <w:b/>
                <w:color w:val="000000"/>
                <w:sz w:val="24"/>
                <w:szCs w:val="24"/>
              </w:rPr>
              <w:t>4.</w:t>
            </w:r>
          </w:hyperlink>
          <w:hyperlink w:anchor="_heading=h.2s8eyo1">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_heading=h.2s8eyo1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DISPOSIÇÕES DE OBSERVÂNCIA OBRIGATÓRIA PELO PROPONENTE NO CURSO NO PROCEDIMENTO LICITATÓRIO.</w:t>
          </w:r>
          <w:r>
            <w:rPr>
              <w:rFonts w:ascii="Cambria" w:eastAsia="Arial" w:hAnsi="Cambria" w:cs="Arial"/>
              <w:b/>
              <w:color w:val="000000"/>
              <w:sz w:val="24"/>
              <w:szCs w:val="24"/>
            </w:rPr>
            <w:tab/>
            <w:t>5</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17dp8vu">
            <w:r>
              <w:rPr>
                <w:rFonts w:ascii="Cambria" w:eastAsia="Arial" w:hAnsi="Cambria" w:cs="Arial"/>
                <w:b/>
                <w:color w:val="000000"/>
                <w:sz w:val="24"/>
                <w:szCs w:val="24"/>
              </w:rPr>
              <w:t>5.</w:t>
            </w:r>
          </w:hyperlink>
          <w:hyperlink w:anchor="_heading=h.17dp8vu">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_heading=h.17dp8vu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DO CREDENCIAMENTO DO PROPONENTE NA PLATAFORMA ELETRÔNICA.</w:t>
          </w:r>
          <w:r>
            <w:rPr>
              <w:rFonts w:ascii="Cambria" w:eastAsia="Arial" w:hAnsi="Cambria" w:cs="Arial"/>
              <w:b/>
              <w:color w:val="000000"/>
              <w:sz w:val="24"/>
              <w:szCs w:val="24"/>
            </w:rPr>
            <w:tab/>
            <w:t>6</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3rdcrjn">
            <w:r>
              <w:rPr>
                <w:rFonts w:ascii="Cambria" w:eastAsia="Arial" w:hAnsi="Cambria" w:cs="Arial"/>
                <w:b/>
                <w:color w:val="000000"/>
                <w:sz w:val="24"/>
                <w:szCs w:val="24"/>
              </w:rPr>
              <w:t>6.</w:t>
            </w:r>
          </w:hyperlink>
          <w:hyperlink w:anchor="_heading=h.3rdcrjn">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_heading=h.3rdcrjn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PARÂMETROS DOS DOCUMENTOS A SEREM APRESENTADOS NO PROCEDIMENTO.</w:t>
          </w:r>
          <w:r>
            <w:rPr>
              <w:rFonts w:ascii="Cambria" w:eastAsia="Arial" w:hAnsi="Cambria" w:cs="Arial"/>
              <w:b/>
              <w:color w:val="000000"/>
              <w:sz w:val="24"/>
              <w:szCs w:val="24"/>
            </w:rPr>
            <w:tab/>
            <w:t>6</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26in1rg">
            <w:r>
              <w:rPr>
                <w:rFonts w:ascii="Cambria" w:eastAsia="Arial" w:hAnsi="Cambria" w:cs="Arial"/>
                <w:b/>
                <w:color w:val="000000"/>
                <w:sz w:val="24"/>
                <w:szCs w:val="24"/>
              </w:rPr>
              <w:t>7.</w:t>
            </w:r>
          </w:hyperlink>
          <w:hyperlink w:anchor="_heading=h.26in1rg">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_heading=h.26in1rg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 PROPOSTA DE PREÇOS</w:t>
          </w:r>
          <w:r>
            <w:rPr>
              <w:rFonts w:ascii="Cambria" w:eastAsia="Arial" w:hAnsi="Cambria" w:cs="Arial"/>
              <w:b/>
              <w:color w:val="000000"/>
              <w:sz w:val="24"/>
              <w:szCs w:val="24"/>
            </w:rPr>
            <w:tab/>
            <w:t>6</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lnxbz9">
            <w:r>
              <w:rPr>
                <w:rFonts w:ascii="Cambria" w:eastAsia="Arial" w:hAnsi="Cambria" w:cs="Arial"/>
                <w:b/>
                <w:color w:val="000000"/>
                <w:sz w:val="24"/>
                <w:szCs w:val="24"/>
              </w:rPr>
              <w:t>8.</w:t>
            </w:r>
          </w:hyperlink>
          <w:hyperlink w:anchor="_heading=h.lnxbz9">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_heading=h.lnxbz9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DOS DOCUMENTOS DE HABILITAÇÃO</w:t>
          </w:r>
          <w:r>
            <w:rPr>
              <w:rFonts w:ascii="Cambria" w:eastAsia="Arial" w:hAnsi="Cambria" w:cs="Arial"/>
              <w:b/>
              <w:color w:val="000000"/>
              <w:sz w:val="24"/>
              <w:szCs w:val="24"/>
            </w:rPr>
            <w:tab/>
            <w:t>10</w:t>
          </w:r>
          <w:r>
            <w:rPr>
              <w:rFonts w:ascii="Cambria" w:hAnsi="Cambria"/>
              <w:sz w:val="24"/>
              <w:szCs w:val="24"/>
            </w:rPr>
            <w:fldChar w:fldCharType="end"/>
          </w:r>
        </w:p>
        <w:p>
          <w:pPr>
            <w:pBdr>
              <w:top w:val="nil"/>
              <w:left w:val="nil"/>
              <w:bottom w:val="nil"/>
              <w:right w:val="nil"/>
              <w:between w:val="nil"/>
            </w:pBdr>
            <w:tabs>
              <w:tab w:val="left" w:pos="440"/>
              <w:tab w:val="left" w:pos="5103"/>
              <w:tab w:val="right" w:pos="9737"/>
            </w:tabs>
            <w:spacing w:after="100"/>
            <w:rPr>
              <w:rFonts w:ascii="Cambria" w:eastAsia="Arial" w:hAnsi="Cambria" w:cs="Arial"/>
              <w:color w:val="000000"/>
              <w:sz w:val="24"/>
              <w:szCs w:val="24"/>
            </w:rPr>
          </w:pPr>
          <w:hyperlink w:anchor="_heading=h.35nkun2">
            <w:r>
              <w:rPr>
                <w:rFonts w:ascii="Cambria" w:eastAsia="Arial" w:hAnsi="Cambria" w:cs="Arial"/>
                <w:b/>
                <w:color w:val="000000"/>
                <w:sz w:val="24"/>
                <w:szCs w:val="24"/>
              </w:rPr>
              <w:t>9.</w:t>
            </w:r>
          </w:hyperlink>
          <w:hyperlink w:anchor="_heading=h.35nkun2">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_heading=h.35nkun2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 SESSÃO PÚBLICA.</w:t>
          </w:r>
          <w:r>
            <w:rPr>
              <w:rFonts w:ascii="Cambria" w:eastAsia="Arial" w:hAnsi="Cambria" w:cs="Arial"/>
              <w:b/>
              <w:color w:val="000000"/>
              <w:sz w:val="24"/>
              <w:szCs w:val="24"/>
            </w:rPr>
            <w:tab/>
            <w:t>11</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2jxsxqh">
            <w:r>
              <w:rPr>
                <w:rFonts w:ascii="Cambria" w:eastAsia="Arial" w:hAnsi="Cambria" w:cs="Arial"/>
                <w:b/>
                <w:color w:val="000000"/>
                <w:sz w:val="24"/>
                <w:szCs w:val="24"/>
              </w:rPr>
              <w:t>10.</w:t>
            </w:r>
          </w:hyperlink>
          <w:hyperlink w:anchor="_heading=h.2jxsxqh">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_heading=h.2jxsxqh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 ADJUDICAÇÃO E HOMOLOGAÇÃO.</w:t>
          </w:r>
          <w:r>
            <w:rPr>
              <w:rFonts w:ascii="Cambria" w:eastAsia="Arial" w:hAnsi="Cambria" w:cs="Arial"/>
              <w:b/>
              <w:color w:val="000000"/>
              <w:sz w:val="24"/>
              <w:szCs w:val="24"/>
            </w:rPr>
            <w:tab/>
            <w:t>23</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z337ya">
            <w:r>
              <w:rPr>
                <w:rFonts w:ascii="Cambria" w:eastAsia="Arial" w:hAnsi="Cambria" w:cs="Arial"/>
                <w:b/>
                <w:color w:val="000000"/>
                <w:sz w:val="24"/>
                <w:szCs w:val="24"/>
              </w:rPr>
              <w:t>11.</w:t>
            </w:r>
          </w:hyperlink>
          <w:hyperlink w:anchor="_heading=h.z337ya">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_heading=h.z337ya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DA(S) DOTAÇÃO(ÕES) ORÇAMENTÁRIA(S)</w:t>
          </w:r>
          <w:r>
            <w:rPr>
              <w:rFonts w:ascii="Cambria" w:eastAsia="Arial" w:hAnsi="Cambria" w:cs="Arial"/>
              <w:b/>
              <w:color w:val="000000"/>
              <w:sz w:val="24"/>
              <w:szCs w:val="24"/>
            </w:rPr>
            <w:tab/>
            <w:t>24</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3j2qqm3">
            <w:r>
              <w:rPr>
                <w:rFonts w:ascii="Cambria" w:eastAsia="Arial" w:hAnsi="Cambria" w:cs="Arial"/>
                <w:b/>
                <w:color w:val="000000"/>
                <w:sz w:val="24"/>
                <w:szCs w:val="24"/>
              </w:rPr>
              <w:t>12.</w:t>
            </w:r>
          </w:hyperlink>
          <w:hyperlink w:anchor="_heading=h.3j2qqm3">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_heading=h.3j2qqm3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 FORMALIZAÇÃO DAS CONTRATAÇÕES</w:t>
          </w:r>
          <w:r>
            <w:rPr>
              <w:rFonts w:ascii="Cambria" w:eastAsia="Arial" w:hAnsi="Cambria" w:cs="Arial"/>
              <w:b/>
              <w:color w:val="000000"/>
              <w:sz w:val="24"/>
              <w:szCs w:val="24"/>
            </w:rPr>
            <w:tab/>
            <w:t>24</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1y810tw">
            <w:r>
              <w:rPr>
                <w:rFonts w:ascii="Cambria" w:eastAsia="Arial" w:hAnsi="Cambria" w:cs="Arial"/>
                <w:b/>
                <w:color w:val="000000"/>
                <w:sz w:val="24"/>
                <w:szCs w:val="24"/>
              </w:rPr>
              <w:t>13.</w:t>
            </w:r>
          </w:hyperlink>
          <w:hyperlink w:anchor="_heading=h.1y810tw">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_heading=h.1y810tw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DO PAGAMENTO E DEMAIS CONDIÇÕES DO OBJETO</w:t>
          </w:r>
          <w:r>
            <w:rPr>
              <w:rFonts w:ascii="Cambria" w:eastAsia="Arial" w:hAnsi="Cambria" w:cs="Arial"/>
              <w:b/>
              <w:color w:val="000000"/>
              <w:sz w:val="24"/>
              <w:szCs w:val="24"/>
            </w:rPr>
            <w:tab/>
            <w:t>24</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4i7ojhp">
            <w:r>
              <w:rPr>
                <w:rFonts w:ascii="Cambria" w:eastAsia="Arial" w:hAnsi="Cambria" w:cs="Arial"/>
                <w:b/>
                <w:color w:val="000000"/>
                <w:sz w:val="24"/>
                <w:szCs w:val="24"/>
              </w:rPr>
              <w:t>14.</w:t>
            </w:r>
          </w:hyperlink>
          <w:hyperlink w:anchor="_heading=h.4i7ojhp">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_heading=h.4i7ojhp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DAS INFRAÇÕES E SANÇÕES</w:t>
          </w:r>
          <w:r>
            <w:rPr>
              <w:rFonts w:ascii="Cambria" w:eastAsia="Arial" w:hAnsi="Cambria" w:cs="Arial"/>
              <w:b/>
              <w:color w:val="000000"/>
              <w:sz w:val="24"/>
              <w:szCs w:val="24"/>
            </w:rPr>
            <w:tab/>
            <w:t>24</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41mghml">
            <w:r>
              <w:rPr>
                <w:rFonts w:ascii="Cambria" w:eastAsia="Arial" w:hAnsi="Cambria" w:cs="Arial"/>
                <w:b/>
                <w:color w:val="000000"/>
                <w:sz w:val="24"/>
                <w:szCs w:val="24"/>
              </w:rPr>
              <w:t>15.</w:t>
            </w:r>
          </w:hyperlink>
          <w:hyperlink w:anchor="_heading=h.41mghml">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_heading=h.41mghml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FRAUDE E CORRUPÇÃO</w:t>
          </w:r>
          <w:r>
            <w:rPr>
              <w:rFonts w:ascii="Cambria" w:eastAsia="Arial" w:hAnsi="Cambria" w:cs="Arial"/>
              <w:b/>
              <w:color w:val="000000"/>
              <w:sz w:val="24"/>
              <w:szCs w:val="24"/>
            </w:rPr>
            <w:tab/>
            <w:t>28</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2grqrue">
            <w:r>
              <w:rPr>
                <w:rFonts w:ascii="Cambria" w:eastAsia="Arial" w:hAnsi="Cambria" w:cs="Arial"/>
                <w:b/>
                <w:color w:val="000000"/>
                <w:sz w:val="24"/>
                <w:szCs w:val="24"/>
              </w:rPr>
              <w:t>16.</w:t>
            </w:r>
          </w:hyperlink>
          <w:hyperlink w:anchor="_heading=h.2grqrue">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_heading=h.2grqrue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DOS ESCLARECIMENTOS, IMPUGNAÇÕES, DILIGÊNCIAS, REVOGAÇÃO E ANULAÇÃO</w:t>
          </w:r>
          <w:r>
            <w:rPr>
              <w:rFonts w:ascii="Cambria" w:eastAsia="Arial" w:hAnsi="Cambria" w:cs="Arial"/>
              <w:b/>
              <w:color w:val="000000"/>
              <w:sz w:val="24"/>
              <w:szCs w:val="24"/>
            </w:rPr>
            <w:tab/>
            <w:t>28</w:t>
          </w:r>
          <w:r>
            <w:rPr>
              <w:rFonts w:ascii="Cambria" w:hAnsi="Cambria"/>
              <w:sz w:val="24"/>
              <w:szCs w:val="24"/>
            </w:rPr>
            <w:fldChar w:fldCharType="end"/>
          </w:r>
        </w:p>
        <w:p>
          <w:pPr>
            <w:pBdr>
              <w:top w:val="nil"/>
              <w:left w:val="nil"/>
              <w:bottom w:val="nil"/>
              <w:right w:val="nil"/>
              <w:between w:val="nil"/>
            </w:pBdr>
            <w:tabs>
              <w:tab w:val="left" w:pos="660"/>
              <w:tab w:val="left" w:pos="5103"/>
              <w:tab w:val="right" w:pos="9737"/>
            </w:tabs>
            <w:spacing w:after="100"/>
            <w:rPr>
              <w:rFonts w:ascii="Cambria" w:eastAsia="Arial" w:hAnsi="Cambria" w:cs="Arial"/>
              <w:color w:val="000000"/>
              <w:sz w:val="24"/>
              <w:szCs w:val="24"/>
            </w:rPr>
          </w:pPr>
          <w:hyperlink w:anchor="_heading=h.vx1227">
            <w:r>
              <w:rPr>
                <w:rFonts w:ascii="Cambria" w:eastAsia="Arial" w:hAnsi="Cambria" w:cs="Arial"/>
                <w:b/>
                <w:color w:val="000000"/>
                <w:sz w:val="24"/>
                <w:szCs w:val="24"/>
              </w:rPr>
              <w:t>17.</w:t>
            </w:r>
          </w:hyperlink>
          <w:hyperlink w:anchor="_heading=h.vx1227">
            <w:r>
              <w:rPr>
                <w:rFonts w:ascii="Cambria" w:eastAsia="Arial" w:hAnsi="Cambria" w:cs="Arial"/>
                <w:color w:val="000000"/>
                <w:sz w:val="24"/>
                <w:szCs w:val="24"/>
              </w:rPr>
              <w:tab/>
            </w:r>
          </w:hyperlink>
          <w:r>
            <w:rPr>
              <w:rFonts w:ascii="Cambria" w:hAnsi="Cambria"/>
              <w:sz w:val="24"/>
              <w:szCs w:val="24"/>
            </w:rPr>
            <w:fldChar w:fldCharType="begin"/>
          </w:r>
          <w:r>
            <w:rPr>
              <w:rFonts w:ascii="Cambria" w:hAnsi="Cambria"/>
              <w:sz w:val="24"/>
              <w:szCs w:val="24"/>
            </w:rPr>
            <w:instrText xml:space="preserve"> PAGEREF _heading=h.vx1227 \h </w:instrText>
          </w:r>
          <w:r>
            <w:rPr>
              <w:rFonts w:ascii="Cambria" w:hAnsi="Cambria"/>
              <w:sz w:val="24"/>
              <w:szCs w:val="24"/>
            </w:rPr>
          </w:r>
          <w:r>
            <w:rPr>
              <w:rFonts w:ascii="Cambria" w:hAnsi="Cambria"/>
              <w:sz w:val="24"/>
              <w:szCs w:val="24"/>
            </w:rPr>
            <w:fldChar w:fldCharType="separate"/>
          </w:r>
          <w:r>
            <w:rPr>
              <w:rFonts w:ascii="Cambria" w:eastAsia="Arial" w:hAnsi="Cambria" w:cs="Arial"/>
              <w:b/>
              <w:color w:val="000000"/>
              <w:sz w:val="24"/>
              <w:szCs w:val="24"/>
            </w:rPr>
            <w:t>DISPOSIÇÕES GERAIS</w:t>
          </w:r>
          <w:r>
            <w:rPr>
              <w:rFonts w:ascii="Cambria" w:eastAsia="Arial" w:hAnsi="Cambria" w:cs="Arial"/>
              <w:b/>
              <w:color w:val="000000"/>
              <w:sz w:val="24"/>
              <w:szCs w:val="24"/>
            </w:rPr>
            <w:tab/>
            <w:t>29</w:t>
          </w:r>
          <w:r>
            <w:rPr>
              <w:rFonts w:ascii="Cambria" w:hAnsi="Cambria"/>
              <w:sz w:val="24"/>
              <w:szCs w:val="24"/>
            </w:rPr>
            <w:fldChar w:fldCharType="end"/>
          </w:r>
        </w:p>
        <w:p>
          <w:pPr>
            <w:pBdr>
              <w:top w:val="nil"/>
              <w:left w:val="nil"/>
              <w:bottom w:val="nil"/>
              <w:right w:val="nil"/>
              <w:between w:val="nil"/>
            </w:pBdr>
            <w:tabs>
              <w:tab w:val="left" w:pos="5103"/>
              <w:tab w:val="right" w:pos="9737"/>
            </w:tabs>
            <w:spacing w:after="100"/>
            <w:rPr>
              <w:rFonts w:ascii="Cambria" w:eastAsia="Arial" w:hAnsi="Cambria" w:cs="Arial"/>
              <w:color w:val="000000"/>
              <w:sz w:val="24"/>
              <w:szCs w:val="24"/>
            </w:rPr>
          </w:pPr>
          <w:hyperlink w:anchor="_heading=h.3fwokq0">
            <w:r>
              <w:rPr>
                <w:rFonts w:ascii="Cambria" w:eastAsia="Arial" w:hAnsi="Cambria" w:cs="Arial"/>
                <w:b/>
                <w:color w:val="000000"/>
                <w:sz w:val="24"/>
                <w:szCs w:val="24"/>
              </w:rPr>
              <w:t>ANEXO I - TERMO DE REFERÊNCIA E SEUS ANEXOS</w:t>
            </w:r>
            <w:r>
              <w:rPr>
                <w:rFonts w:ascii="Cambria" w:eastAsia="Arial" w:hAnsi="Cambria" w:cs="Arial"/>
                <w:b/>
                <w:color w:val="000000"/>
                <w:sz w:val="24"/>
                <w:szCs w:val="24"/>
              </w:rPr>
              <w:tab/>
              <w:t>31</w:t>
            </w:r>
          </w:hyperlink>
        </w:p>
        <w:p>
          <w:pPr>
            <w:pBdr>
              <w:top w:val="nil"/>
              <w:left w:val="nil"/>
              <w:bottom w:val="nil"/>
              <w:right w:val="nil"/>
              <w:between w:val="nil"/>
            </w:pBdr>
            <w:tabs>
              <w:tab w:val="left" w:pos="5103"/>
              <w:tab w:val="right" w:pos="9737"/>
            </w:tabs>
            <w:spacing w:after="100"/>
            <w:rPr>
              <w:rFonts w:ascii="Cambria" w:eastAsia="Arial" w:hAnsi="Cambria" w:cs="Arial"/>
              <w:color w:val="000000"/>
              <w:sz w:val="24"/>
              <w:szCs w:val="24"/>
            </w:rPr>
          </w:pPr>
          <w:hyperlink w:anchor="_heading=h.1v1yuxt">
            <w:r>
              <w:rPr>
                <w:rFonts w:ascii="Cambria" w:eastAsia="Arial" w:hAnsi="Cambria" w:cs="Arial"/>
                <w:b/>
                <w:color w:val="000000"/>
                <w:sz w:val="24"/>
                <w:szCs w:val="24"/>
              </w:rPr>
              <w:t>ANEXO II - MODELO DA PROPOSTA DE PREÇOS</w:t>
            </w:r>
            <w:r>
              <w:rPr>
                <w:rFonts w:ascii="Cambria" w:eastAsia="Arial" w:hAnsi="Cambria" w:cs="Arial"/>
                <w:b/>
                <w:color w:val="000000"/>
                <w:sz w:val="24"/>
                <w:szCs w:val="24"/>
              </w:rPr>
              <w:tab/>
              <w:t>32</w:t>
            </w:r>
          </w:hyperlink>
        </w:p>
        <w:p>
          <w:pPr>
            <w:pBdr>
              <w:top w:val="nil"/>
              <w:left w:val="nil"/>
              <w:bottom w:val="nil"/>
              <w:right w:val="nil"/>
              <w:between w:val="nil"/>
            </w:pBdr>
            <w:tabs>
              <w:tab w:val="left" w:pos="5103"/>
              <w:tab w:val="right" w:pos="9737"/>
            </w:tabs>
            <w:spacing w:after="100"/>
            <w:rPr>
              <w:rFonts w:ascii="Cambria" w:eastAsia="Arial" w:hAnsi="Cambria" w:cs="Arial"/>
              <w:color w:val="000000"/>
              <w:sz w:val="24"/>
              <w:szCs w:val="24"/>
            </w:rPr>
          </w:pPr>
          <w:hyperlink w:anchor="_heading=h.2u6wntf">
            <w:r>
              <w:rPr>
                <w:rFonts w:ascii="Cambria" w:eastAsia="Arial" w:hAnsi="Cambria" w:cs="Arial"/>
                <w:b/>
                <w:color w:val="000000"/>
                <w:sz w:val="24"/>
                <w:szCs w:val="24"/>
              </w:rPr>
              <w:t>ANEXO III - MINUTA DO CONTRATO</w:t>
            </w:r>
            <w:r>
              <w:rPr>
                <w:rFonts w:ascii="Cambria" w:eastAsia="Arial" w:hAnsi="Cambria" w:cs="Arial"/>
                <w:b/>
                <w:color w:val="000000"/>
                <w:sz w:val="24"/>
                <w:szCs w:val="24"/>
              </w:rPr>
              <w:tab/>
              <w:t>33</w:t>
            </w:r>
          </w:hyperlink>
        </w:p>
        <w:p>
          <w:pPr>
            <w:tabs>
              <w:tab w:val="left" w:pos="5103"/>
            </w:tabs>
            <w:rPr>
              <w:rFonts w:ascii="Cambria" w:eastAsia="Arial" w:hAnsi="Cambria" w:cs="Arial"/>
              <w:sz w:val="24"/>
              <w:szCs w:val="24"/>
            </w:rPr>
          </w:pPr>
          <w:r>
            <w:rPr>
              <w:rFonts w:ascii="Cambria" w:hAnsi="Cambria"/>
              <w:sz w:val="24"/>
              <w:szCs w:val="24"/>
            </w:rPr>
            <w:fldChar w:fldCharType="end"/>
          </w:r>
        </w:p>
      </w:sdtContent>
    </w:sdt>
    <w:p>
      <w:pPr>
        <w:tabs>
          <w:tab w:val="left" w:pos="5103"/>
        </w:tabs>
        <w:spacing w:before="300" w:after="225" w:line="276" w:lineRule="auto"/>
        <w:rPr>
          <w:rFonts w:ascii="Cambria" w:eastAsia="Arial" w:hAnsi="Cambria" w:cs="Arial"/>
          <w:sz w:val="24"/>
          <w:szCs w:val="24"/>
        </w:rPr>
      </w:pPr>
    </w:p>
    <w:p>
      <w:pPr>
        <w:tabs>
          <w:tab w:val="left" w:pos="5103"/>
        </w:tabs>
        <w:spacing w:after="160" w:line="276" w:lineRule="auto"/>
        <w:rPr>
          <w:rFonts w:ascii="Cambria" w:eastAsia="Arial" w:hAnsi="Cambria" w:cs="Arial"/>
          <w:sz w:val="24"/>
          <w:szCs w:val="24"/>
        </w:rPr>
      </w:pPr>
      <w:r>
        <w:rPr>
          <w:rFonts w:ascii="Cambria" w:hAnsi="Cambria"/>
          <w:sz w:val="24"/>
          <w:szCs w:val="24"/>
        </w:rPr>
        <w:br w:type="page"/>
      </w:r>
    </w:p>
    <w:p>
      <w:pPr>
        <w:tabs>
          <w:tab w:val="left" w:pos="5103"/>
        </w:tabs>
        <w:jc w:val="center"/>
        <w:rPr>
          <w:rFonts w:ascii="Cambria" w:eastAsia="Arial" w:hAnsi="Cambria" w:cs="Arial"/>
          <w:b/>
          <w:sz w:val="24"/>
          <w:szCs w:val="24"/>
        </w:rPr>
      </w:pPr>
      <w:r>
        <w:rPr>
          <w:rFonts w:ascii="Cambria" w:eastAsia="Arial" w:hAnsi="Cambria" w:cs="Arial"/>
          <w:b/>
          <w:sz w:val="24"/>
          <w:szCs w:val="24"/>
        </w:rPr>
        <w:lastRenderedPageBreak/>
        <w:t>EDITAL</w:t>
      </w:r>
    </w:p>
    <w:p>
      <w:pPr>
        <w:tabs>
          <w:tab w:val="left" w:pos="5103"/>
        </w:tabs>
        <w:jc w:val="center"/>
        <w:rPr>
          <w:rFonts w:ascii="Cambria" w:eastAsia="Arial" w:hAnsi="Cambria" w:cs="Arial"/>
          <w:b/>
          <w:sz w:val="24"/>
          <w:szCs w:val="24"/>
        </w:rPr>
      </w:pPr>
      <w:r>
        <w:rPr>
          <w:rFonts w:ascii="Cambria" w:eastAsia="Arial" w:hAnsi="Cambria" w:cs="Arial"/>
          <w:b/>
          <w:sz w:val="24"/>
          <w:szCs w:val="24"/>
        </w:rPr>
        <w:t>PREGÃO ELETRÔNICO Nº 90007/2026 - PE</w:t>
      </w:r>
    </w:p>
    <w:p>
      <w:pPr>
        <w:tabs>
          <w:tab w:val="left" w:pos="5103"/>
        </w:tabs>
        <w:jc w:val="center"/>
        <w:rPr>
          <w:rFonts w:ascii="Cambria" w:eastAsia="Arial" w:hAnsi="Cambria" w:cs="Arial"/>
          <w:b/>
          <w:sz w:val="24"/>
          <w:szCs w:val="24"/>
        </w:rPr>
      </w:pPr>
    </w:p>
    <w:p>
      <w:pPr>
        <w:tabs>
          <w:tab w:val="left" w:pos="5103"/>
        </w:tabs>
        <w:jc w:val="center"/>
        <w:rPr>
          <w:rFonts w:ascii="Cambria" w:eastAsia="Arial" w:hAnsi="Cambria" w:cs="Arial"/>
          <w:sz w:val="24"/>
          <w:szCs w:val="24"/>
        </w:rPr>
      </w:pPr>
    </w:p>
    <w:tbl>
      <w:tblPr>
        <w:tblW w:w="9631"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9631"/>
      </w:tblGrid>
      <w:tr>
        <w:trPr>
          <w:trHeight w:val="216"/>
          <w:jc w:val="center"/>
        </w:trPr>
        <w:tc>
          <w:tcPr>
            <w:tcW w:w="9631" w:type="dxa"/>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color w:val="FFFFFF" w:themeColor="background1"/>
                <w:sz w:val="24"/>
                <w:szCs w:val="24"/>
              </w:rPr>
              <w:t>PARTE GERAL</w:t>
            </w:r>
          </w:p>
        </w:tc>
      </w:tr>
    </w:tbl>
    <w:p>
      <w:pPr>
        <w:tabs>
          <w:tab w:val="left" w:pos="5103"/>
        </w:tabs>
        <w:jc w:val="center"/>
        <w:rPr>
          <w:rFonts w:ascii="Cambria" w:eastAsia="Arial" w:hAnsi="Cambria" w:cs="Arial"/>
          <w:sz w:val="24"/>
          <w:szCs w:val="24"/>
        </w:rPr>
      </w:pPr>
    </w:p>
    <w:p>
      <w:pPr>
        <w:tabs>
          <w:tab w:val="left" w:pos="5103"/>
        </w:tabs>
        <w:jc w:val="center"/>
        <w:rPr>
          <w:rFonts w:ascii="Cambria" w:eastAsia="Arial" w:hAnsi="Cambria" w:cs="Arial"/>
          <w:b/>
          <w:sz w:val="24"/>
          <w:szCs w:val="24"/>
        </w:rPr>
      </w:pPr>
      <w:r>
        <w:rPr>
          <w:rFonts w:ascii="Cambria" w:eastAsia="Arial" w:hAnsi="Cambria" w:cs="Arial"/>
          <w:b/>
          <w:sz w:val="24"/>
          <w:szCs w:val="24"/>
        </w:rPr>
        <w:t>PREÂMBULO</w:t>
      </w:r>
    </w:p>
    <w:p>
      <w:pPr>
        <w:pStyle w:val="Ttulo1"/>
        <w:tabs>
          <w:tab w:val="left" w:pos="5103"/>
        </w:tabs>
        <w:jc w:val="both"/>
        <w:rPr>
          <w:rFonts w:ascii="Cambria" w:hAnsi="Cambria"/>
          <w:b/>
          <w:color w:val="auto"/>
          <w:sz w:val="24"/>
          <w:szCs w:val="24"/>
        </w:rPr>
      </w:pPr>
      <w:bookmarkStart w:id="2" w:name="_heading=h.1fob9te" w:colFirst="0" w:colLast="0"/>
      <w:bookmarkEnd w:id="2"/>
      <w:r>
        <w:rPr>
          <w:rFonts w:ascii="Cambria" w:hAnsi="Cambria"/>
          <w:color w:val="auto"/>
          <w:sz w:val="24"/>
          <w:szCs w:val="24"/>
        </w:rPr>
        <w:t>A PREFEITURA MUNICIPAL DE MIRAÍMA/CE, por meio do Secretaria de Infraestrutura e Serviços Públicos, torna público, para conhecimento dos interessados, que se encontra aberto processo licitatório, na modalidade PREGÃO, em formato ELETRÔNICO Nº 90007/2026 - PE,  do tipo e critério de julgamento assinalados no quadro resumo acima, do modo e nas condições fixadas no quadro de resumo inicial, a ser realizado em sessão pública por meio de comunicação via internet, através do endereço eletrônico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Regulamentos Municipais e nas demais normas complementares.</w:t>
      </w:r>
    </w:p>
    <w:p>
      <w:pPr>
        <w:pStyle w:val="Ttulo1"/>
        <w:tabs>
          <w:tab w:val="left" w:pos="5103"/>
        </w:tabs>
        <w:jc w:val="both"/>
        <w:rPr>
          <w:rFonts w:ascii="Cambria" w:hAnsi="Cambria"/>
          <w:b/>
          <w:bCs/>
          <w:color w:val="auto"/>
          <w:sz w:val="24"/>
          <w:szCs w:val="24"/>
        </w:rPr>
      </w:pPr>
      <w:bookmarkStart w:id="3" w:name="_heading=h.3znysh7" w:colFirst="0" w:colLast="0"/>
      <w:bookmarkEnd w:id="3"/>
      <w:r>
        <w:rPr>
          <w:rFonts w:ascii="Cambria" w:eastAsia="Arial" w:hAnsi="Cambria"/>
          <w:color w:val="auto"/>
          <w:sz w:val="24"/>
          <w:szCs w:val="24"/>
        </w:rPr>
        <w:t>A parte geral do presente edital é subdividida em duas outras partes, conforme a seguir apresentadas:</w:t>
      </w:r>
    </w:p>
    <w:p>
      <w:pPr>
        <w:tabs>
          <w:tab w:val="left" w:pos="5103"/>
        </w:tabs>
        <w:rPr>
          <w:rFonts w:ascii="Cambria" w:eastAsia="Arial" w:hAnsi="Cambria" w:cs="Arial"/>
          <w:b/>
          <w:sz w:val="24"/>
          <w:szCs w:val="24"/>
        </w:rPr>
      </w:pPr>
    </w:p>
    <w:p>
      <w:pPr>
        <w:tabs>
          <w:tab w:val="left" w:pos="5103"/>
        </w:tabs>
        <w:rPr>
          <w:rFonts w:ascii="Cambria" w:eastAsia="Arial" w:hAnsi="Cambria" w:cs="Arial"/>
          <w:sz w:val="24"/>
          <w:szCs w:val="24"/>
        </w:rPr>
      </w:pPr>
      <w:r>
        <w:rPr>
          <w:rFonts w:ascii="Cambria" w:eastAsia="Arial" w:hAnsi="Cambria" w:cs="Arial"/>
          <w:b/>
          <w:sz w:val="24"/>
          <w:szCs w:val="24"/>
        </w:rPr>
        <w:t>SUBPARTE A – CONDIÇÕES PARA COMPETIÇÃO, JULGAMENTO E ADJUDICAÇÃO</w:t>
      </w:r>
      <w:r>
        <w:rPr>
          <w:rFonts w:ascii="Cambria" w:eastAsia="Arial" w:hAnsi="Cambria" w:cs="Arial"/>
          <w:sz w:val="24"/>
          <w:szCs w:val="24"/>
        </w:rPr>
        <w:t>.</w:t>
      </w:r>
    </w:p>
    <w:p>
      <w:pPr>
        <w:tabs>
          <w:tab w:val="left" w:pos="5103"/>
        </w:tabs>
        <w:jc w:val="both"/>
        <w:rPr>
          <w:rFonts w:ascii="Cambria" w:eastAsia="Arial" w:hAnsi="Cambria" w:cs="Arial"/>
          <w:sz w:val="24"/>
          <w:szCs w:val="24"/>
        </w:rPr>
      </w:pPr>
      <w:r>
        <w:rPr>
          <w:rFonts w:ascii="Cambria" w:eastAsia="Arial" w:hAnsi="Cambria" w:cs="Arial"/>
          <w:sz w:val="24"/>
          <w:szCs w:val="24"/>
        </w:rPr>
        <w:t>Em que são estabelecidos os requisitos e as condições para competição, julgamento e formalização do contrato.</w:t>
      </w:r>
    </w:p>
    <w:p>
      <w:pPr>
        <w:tabs>
          <w:tab w:val="left" w:pos="5103"/>
        </w:tabs>
        <w:rPr>
          <w:rFonts w:ascii="Cambria" w:eastAsia="Arial" w:hAnsi="Cambria" w:cs="Arial"/>
          <w:b/>
          <w:sz w:val="24"/>
          <w:szCs w:val="24"/>
        </w:rPr>
      </w:pPr>
    </w:p>
    <w:p>
      <w:pPr>
        <w:tabs>
          <w:tab w:val="left" w:pos="5103"/>
        </w:tabs>
        <w:rPr>
          <w:rFonts w:ascii="Cambria" w:eastAsia="Arial" w:hAnsi="Cambria" w:cs="Arial"/>
          <w:b/>
          <w:sz w:val="24"/>
          <w:szCs w:val="24"/>
        </w:rPr>
      </w:pPr>
      <w:r>
        <w:rPr>
          <w:rFonts w:ascii="Cambria" w:eastAsia="Arial" w:hAnsi="Cambria" w:cs="Arial"/>
          <w:b/>
          <w:sz w:val="24"/>
          <w:szCs w:val="24"/>
        </w:rPr>
        <w:t>SUBPARTE B – ANEXOS</w:t>
      </w:r>
    </w:p>
    <w:p>
      <w:pPr>
        <w:tabs>
          <w:tab w:val="left" w:pos="5103"/>
        </w:tabs>
        <w:jc w:val="both"/>
        <w:rPr>
          <w:rFonts w:ascii="Cambria" w:eastAsia="Arial" w:hAnsi="Cambria" w:cs="Arial"/>
          <w:sz w:val="24"/>
          <w:szCs w:val="24"/>
        </w:rPr>
      </w:pPr>
      <w:r>
        <w:rPr>
          <w:rFonts w:ascii="Cambria" w:eastAsia="Arial" w:hAnsi="Cambria" w:cs="Arial"/>
          <w:sz w:val="24"/>
          <w:szCs w:val="24"/>
        </w:rPr>
        <w:t>ANEXO I – Termo de Referência e seus anexos;</w:t>
      </w:r>
    </w:p>
    <w:p>
      <w:pPr>
        <w:tabs>
          <w:tab w:val="left" w:pos="5103"/>
        </w:tabs>
        <w:jc w:val="both"/>
        <w:rPr>
          <w:rFonts w:ascii="Cambria" w:eastAsia="Arial" w:hAnsi="Cambria" w:cs="Arial"/>
          <w:sz w:val="24"/>
          <w:szCs w:val="24"/>
        </w:rPr>
      </w:pPr>
      <w:r>
        <w:rPr>
          <w:rFonts w:ascii="Cambria" w:eastAsia="Arial" w:hAnsi="Cambria" w:cs="Arial"/>
          <w:sz w:val="24"/>
          <w:szCs w:val="24"/>
        </w:rPr>
        <w:t>ANEXO II – Modelo da Proposta de Preços;</w:t>
      </w:r>
    </w:p>
    <w:p>
      <w:pPr>
        <w:tabs>
          <w:tab w:val="left" w:pos="5103"/>
        </w:tabs>
        <w:jc w:val="both"/>
        <w:rPr>
          <w:rFonts w:ascii="Cambria" w:eastAsia="Arial" w:hAnsi="Cambria" w:cs="Arial"/>
          <w:sz w:val="24"/>
          <w:szCs w:val="24"/>
        </w:rPr>
      </w:pPr>
      <w:r>
        <w:rPr>
          <w:rFonts w:ascii="Cambria" w:eastAsia="Arial" w:hAnsi="Cambria" w:cs="Arial"/>
          <w:sz w:val="24"/>
          <w:szCs w:val="24"/>
        </w:rPr>
        <w:t>ANEXO III – Minuta do Contrato.</w:t>
      </w:r>
    </w:p>
    <w:p>
      <w:pPr>
        <w:pStyle w:val="Ttulo1"/>
        <w:numPr>
          <w:ilvl w:val="0"/>
          <w:numId w:val="28"/>
        </w:numPr>
        <w:tabs>
          <w:tab w:val="left" w:pos="284"/>
          <w:tab w:val="left" w:pos="5103"/>
        </w:tabs>
        <w:ind w:left="-142" w:firstLine="142"/>
        <w:rPr>
          <w:rFonts w:ascii="Cambria" w:hAnsi="Cambria"/>
          <w:b/>
          <w:bCs/>
          <w:color w:val="auto"/>
          <w:sz w:val="24"/>
          <w:szCs w:val="24"/>
        </w:rPr>
      </w:pPr>
      <w:bookmarkStart w:id="4" w:name="_heading=h.2et92p0" w:colFirst="0" w:colLast="0"/>
      <w:bookmarkEnd w:id="4"/>
      <w:r>
        <w:rPr>
          <w:rFonts w:ascii="Cambria" w:hAnsi="Cambria"/>
          <w:b/>
          <w:bCs/>
          <w:color w:val="auto"/>
          <w:sz w:val="24"/>
          <w:szCs w:val="24"/>
        </w:rPr>
        <w:t>DO OBJETO</w:t>
      </w:r>
    </w:p>
    <w:p>
      <w:pPr>
        <w:tabs>
          <w:tab w:val="left" w:pos="5103"/>
        </w:tabs>
        <w:ind w:left="-1134"/>
        <w:rPr>
          <w:rFonts w:ascii="Cambria" w:eastAsia="Arial" w:hAnsi="Cambria" w:cs="Arial"/>
          <w:sz w:val="24"/>
          <w:szCs w:val="24"/>
        </w:rPr>
      </w:pPr>
      <w:bookmarkStart w:id="5" w:name="_heading=h.tyjcwt" w:colFirst="0" w:colLast="0"/>
      <w:bookmarkEnd w:id="5"/>
      <w:r>
        <w:rPr>
          <w:rFonts w:ascii="Cambria" w:eastAsia="Arial" w:hAnsi="Cambria" w:cs="Arial"/>
          <w:noProof/>
          <w:sz w:val="24"/>
          <w:szCs w:val="24"/>
          <w:shd w:val="clear" w:color="auto" w:fill="000099"/>
        </w:rPr>
        <w:drawing>
          <wp:inline distT="0" distB="0" distL="0" distR="0">
            <wp:extent cx="6448425" cy="85725"/>
            <wp:effectExtent l="0" t="0" r="0" b="0"/>
            <wp:docPr id="17645733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4"/>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bookmarkStart w:id="6" w:name="_heading=h.3dy6vkm" w:colFirst="0" w:colLast="0"/>
      <w:bookmarkEnd w:id="6"/>
      <w:r>
        <w:rPr>
          <w:rFonts w:ascii="Cambria" w:eastAsia="Arial" w:hAnsi="Cambria" w:cs="Arial"/>
          <w:color w:val="000000"/>
          <w:sz w:val="24"/>
          <w:szCs w:val="24"/>
        </w:rPr>
        <w:t xml:space="preserve">A presente licitação tem como objeto a </w:t>
      </w:r>
      <w:r>
        <w:rPr>
          <w:rFonts w:ascii="Cambria" w:eastAsia="Arial" w:hAnsi="Cambria" w:cs="Arial"/>
          <w:b/>
          <w:bCs/>
          <w:color w:val="000000"/>
          <w:sz w:val="24"/>
          <w:szCs w:val="24"/>
        </w:rPr>
        <w:t>AQUISIÇÃO DE EQUIPAMENTOS PARA ACADEMIA AO AR LIVRE, DE INTERESSE DA SECRETARIA DE INFRAESTRUTURA E SERVIÇOS PÚBLICOS DE MIRAÍMA/CE</w:t>
      </w:r>
      <w:r>
        <w:rPr>
          <w:rFonts w:ascii="Cambria" w:eastAsia="Arial" w:hAnsi="Cambria" w:cs="Arial"/>
          <w:color w:val="000000"/>
          <w:sz w:val="24"/>
          <w:szCs w:val="24"/>
        </w:rPr>
        <w:t>, tudo conforme especificações contidas no Termo de Referência, constante do anexo 01 do Edital.</w:t>
      </w:r>
    </w:p>
    <w:p>
      <w:pPr>
        <w:pStyle w:val="Ttulo1"/>
        <w:numPr>
          <w:ilvl w:val="0"/>
          <w:numId w:val="28"/>
        </w:numPr>
        <w:tabs>
          <w:tab w:val="left" w:pos="284"/>
          <w:tab w:val="left" w:pos="5103"/>
        </w:tabs>
        <w:ind w:left="0" w:firstLine="0"/>
        <w:rPr>
          <w:rFonts w:ascii="Cambria" w:hAnsi="Cambria"/>
          <w:b/>
          <w:bCs/>
          <w:color w:val="auto"/>
          <w:sz w:val="24"/>
          <w:szCs w:val="24"/>
        </w:rPr>
      </w:pPr>
      <w:bookmarkStart w:id="7" w:name="_heading=h.1t3h5sf" w:colFirst="0" w:colLast="0"/>
      <w:bookmarkEnd w:id="7"/>
      <w:r>
        <w:rPr>
          <w:rFonts w:ascii="Cambria" w:hAnsi="Cambria"/>
          <w:b/>
          <w:bCs/>
          <w:color w:val="auto"/>
          <w:sz w:val="24"/>
          <w:szCs w:val="24"/>
        </w:rPr>
        <w:t>DAS FASES DO PROCESSO LICITATÓRIO</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A disputa do presente procedimento licitatório terá o seguinte trâmite, em fases distintas:</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Credenciamento na plataforma “Compras Gov”;</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Recebimento das “Propostas de preços” e “Documentos de Habilitação” via sistema;</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Abertura das Propostas de preços apresentadas, verificação e classificação inicial;</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Lances, aplicação do direito de preferência e critérios de desempate;</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lastRenderedPageBreak/>
        <w:t>Amostras, se for o caso;</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Negociação, se for o caso;</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Apresentação de propostas ajustadas, se for o caso;</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Fase de aceitabilidade das propostas;</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Habilitação do proponente melhor classificado;</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Recursos;</w:t>
      </w:r>
    </w:p>
    <w:p>
      <w:pPr>
        <w:numPr>
          <w:ilvl w:val="2"/>
          <w:numId w:val="29"/>
        </w:numPr>
        <w:pBdr>
          <w:top w:val="nil"/>
          <w:left w:val="nil"/>
          <w:bottom w:val="nil"/>
          <w:right w:val="nil"/>
          <w:between w:val="nil"/>
        </w:pBdr>
        <w:tabs>
          <w:tab w:val="left" w:pos="426"/>
          <w:tab w:val="left" w:pos="5103"/>
        </w:tabs>
        <w:jc w:val="both"/>
        <w:rPr>
          <w:rFonts w:ascii="Cambria" w:eastAsia="Arial" w:hAnsi="Cambria" w:cs="Arial"/>
          <w:color w:val="000000"/>
          <w:sz w:val="24"/>
          <w:szCs w:val="24"/>
        </w:rPr>
      </w:pPr>
      <w:r>
        <w:rPr>
          <w:rFonts w:ascii="Cambria" w:eastAsia="Arial" w:hAnsi="Cambria" w:cs="Arial"/>
          <w:color w:val="000000"/>
          <w:sz w:val="24"/>
          <w:szCs w:val="24"/>
        </w:rPr>
        <w:t>Adjudicação.</w:t>
      </w:r>
    </w:p>
    <w:p>
      <w:pPr>
        <w:pStyle w:val="Ttulo1"/>
        <w:numPr>
          <w:ilvl w:val="0"/>
          <w:numId w:val="28"/>
        </w:numPr>
        <w:tabs>
          <w:tab w:val="left" w:pos="284"/>
          <w:tab w:val="left" w:pos="5103"/>
        </w:tabs>
        <w:ind w:left="0" w:firstLine="0"/>
        <w:rPr>
          <w:rFonts w:ascii="Cambria" w:hAnsi="Cambria"/>
          <w:b/>
          <w:bCs/>
          <w:color w:val="auto"/>
          <w:sz w:val="24"/>
          <w:szCs w:val="24"/>
        </w:rPr>
      </w:pPr>
      <w:bookmarkStart w:id="8" w:name="_heading=h.4d34og8" w:colFirst="0" w:colLast="0"/>
      <w:bookmarkEnd w:id="8"/>
      <w:r>
        <w:rPr>
          <w:rFonts w:ascii="Cambria" w:hAnsi="Cambria"/>
          <w:b/>
          <w:bCs/>
          <w:color w:val="auto"/>
          <w:sz w:val="24"/>
          <w:szCs w:val="24"/>
        </w:rPr>
        <w:t>DAS CONDIÇÕES PARA PARTICIPAÇÃO.</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PODERÃO PARTICIPAR DESTA LICITAÇÃO:</w:t>
      </w:r>
    </w:p>
    <w:p>
      <w:pPr>
        <w:numPr>
          <w:ilvl w:val="2"/>
          <w:numId w:val="28"/>
        </w:numPr>
        <w:pBdr>
          <w:top w:val="nil"/>
          <w:left w:val="nil"/>
          <w:bottom w:val="nil"/>
          <w:right w:val="nil"/>
          <w:between w:val="nil"/>
        </w:pBdr>
        <w:tabs>
          <w:tab w:val="left" w:pos="709"/>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Quaisquer interessados na forma de </w:t>
      </w:r>
      <w:r>
        <w:rPr>
          <w:rFonts w:ascii="Cambria" w:eastAsia="Arial" w:hAnsi="Cambria" w:cs="Arial"/>
          <w:b/>
          <w:color w:val="000000"/>
          <w:sz w:val="24"/>
          <w:szCs w:val="24"/>
          <w:u w:val="single"/>
        </w:rPr>
        <w:t>PESSOA JURÍDICA</w:t>
      </w:r>
      <w:r>
        <w:rPr>
          <w:rFonts w:ascii="Cambria" w:eastAsia="Arial" w:hAnsi="Cambria" w:cs="Arial"/>
          <w:color w:val="000000"/>
          <w:sz w:val="24"/>
          <w:szCs w:val="24"/>
        </w:rPr>
        <w:t xml:space="preserve"> que:</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Esteja regularmente estabelecida neste País, credenciados junto à plataforma “Compras Gov”, cadastrados ou não no Cadastro de Fornecedores da Prefeitura Municipal de Miraíma/CE e que satisfaçam a todas as condições da legislação em vigor, deste edital;</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Possua objetivos sociais / ramo de atividade compatível com o objeto da licitação, devendo, ainda, cumprir a legislações próprias quanto à forma constituição do tipo de empresa.</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Constituídas na forma de cooperativas, desde que atendidos os requisitos do art. 16 da Lei 14.133/2021 e da legislação específica correspondente, mediante declaração em campo próprio do sistema;</w:t>
      </w:r>
    </w:p>
    <w:p>
      <w:pPr>
        <w:numPr>
          <w:ilvl w:val="2"/>
          <w:numId w:val="28"/>
        </w:numPr>
        <w:pBdr>
          <w:top w:val="nil"/>
          <w:left w:val="nil"/>
          <w:bottom w:val="nil"/>
          <w:right w:val="nil"/>
          <w:between w:val="nil"/>
        </w:pBdr>
        <w:tabs>
          <w:tab w:val="left" w:pos="709"/>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Tratando-se de Microempresa – ME ou Empresa de Pequeno Porte - EPP e as cooperativas que se enquadrem nos termos do art. 34, da Lei Federal n° 11.488/2007, e que não se encontram em qualquer das exclusões relacionadas no § 4º do artigo 3º da Lei Complementar nº 123/2006, deverão declarar no Sistema do “Compras Gov” o exercício do direito de preferência previsto em Lei.</w:t>
      </w:r>
    </w:p>
    <w:p>
      <w:pPr>
        <w:numPr>
          <w:ilvl w:val="2"/>
          <w:numId w:val="28"/>
        </w:numPr>
        <w:pBdr>
          <w:top w:val="nil"/>
          <w:left w:val="nil"/>
          <w:bottom w:val="nil"/>
          <w:right w:val="nil"/>
          <w:between w:val="nil"/>
        </w:pBdr>
        <w:tabs>
          <w:tab w:val="left" w:pos="709"/>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numPr>
          <w:ilvl w:val="2"/>
          <w:numId w:val="28"/>
        </w:numPr>
        <w:pBdr>
          <w:top w:val="nil"/>
          <w:left w:val="nil"/>
          <w:bottom w:val="nil"/>
          <w:right w:val="nil"/>
          <w:between w:val="nil"/>
        </w:pBdr>
        <w:tabs>
          <w:tab w:val="left" w:pos="709"/>
          <w:tab w:val="left" w:pos="5103"/>
        </w:tabs>
        <w:ind w:left="0" w:firstLine="0"/>
        <w:jc w:val="both"/>
        <w:rPr>
          <w:rFonts w:ascii="Cambria" w:eastAsia="Arial" w:hAnsi="Cambria" w:cs="Arial"/>
          <w:b/>
          <w:color w:val="000000"/>
          <w:sz w:val="24"/>
          <w:szCs w:val="24"/>
        </w:rPr>
      </w:pPr>
      <w:r>
        <w:rPr>
          <w:rFonts w:ascii="Cambria" w:eastAsia="Arial" w:hAnsi="Cambria" w:cs="Arial"/>
          <w:bCs/>
          <w:color w:val="000000"/>
          <w:sz w:val="24"/>
          <w:szCs w:val="24"/>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r>
        <w:rPr>
          <w:rFonts w:ascii="Cambria" w:eastAsia="Arial" w:hAnsi="Cambria" w:cs="Arial"/>
          <w:b/>
          <w:color w:val="000000"/>
          <w:sz w:val="24"/>
          <w:szCs w:val="24"/>
        </w:rPr>
        <w:t>.</w:t>
      </w:r>
    </w:p>
    <w:p>
      <w:pPr>
        <w:shd w:val="clear" w:color="auto" w:fill="FFFFFF"/>
        <w:tabs>
          <w:tab w:val="left" w:pos="284"/>
          <w:tab w:val="left" w:pos="5103"/>
        </w:tabs>
        <w:jc w:val="both"/>
        <w:rPr>
          <w:rFonts w:ascii="Cambria" w:eastAsia="Arial" w:hAnsi="Cambria" w:cs="Arial"/>
          <w:b/>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NÃO PODERÃO PARTICIPAR DESTA LICITAÇÃO: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autor do anteprojeto, do projeto básico ou do projeto executivo, pessoa física ou jurídica, quando a licitação versar sobre obra, serviços ou fornecimento de bens a ele relacionados.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Empresas reunidas em consórcio;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Organizações da Sociedade Civil de Interesse Público - OSCIP, atuando nessa condição (Acórdão nº 746/2014-TCU-Plenário);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Sistema de Cadastramento Unificado de Fornecedores (SICAF), no cadastro Consolidado de Pessoa Jurídica do TCU, no Cadastro Nacional de Empresas Inidôneas (CEIS), no Cadastro Nacional de Empresas Punidas (CNEP).</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Empresas controladoras, controladas ou coligadas, nos termos da Lei nº 6.404, de 15 de dezembro de 1976, concorrendo entre si;</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Que não tenham providenciado o credenciamento junto a plataforma eletrônica de julgamento.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interessados que se encontrem em processo de falência decretada ou em processo de dissolução, de fusão, de cisão ou de incorporação.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Empresas cujos dirigentes, gerentes, sócios ou componentes de seu quadro técnico sejam funcionários ou empregados públicos da Administração Pública Municipal Direta ou Indireta.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Empresas Estrangeiras não autorizadas a funcionar no País.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Empresas cujo objeto social não seja pertinente e compatível com o objeto desta licitação.</w:t>
      </w:r>
    </w:p>
    <w:p>
      <w:pPr>
        <w:pStyle w:val="Ttulo1"/>
        <w:numPr>
          <w:ilvl w:val="0"/>
          <w:numId w:val="28"/>
        </w:numPr>
        <w:tabs>
          <w:tab w:val="left" w:pos="284"/>
          <w:tab w:val="left" w:pos="5103"/>
        </w:tabs>
        <w:ind w:left="0" w:firstLine="0"/>
        <w:jc w:val="both"/>
        <w:rPr>
          <w:rFonts w:ascii="Cambria" w:hAnsi="Cambria"/>
          <w:b/>
          <w:bCs/>
          <w:color w:val="auto"/>
          <w:sz w:val="24"/>
          <w:szCs w:val="24"/>
        </w:rPr>
      </w:pPr>
      <w:bookmarkStart w:id="9" w:name="_heading=h.2s8eyo1" w:colFirst="0" w:colLast="0"/>
      <w:bookmarkEnd w:id="9"/>
      <w:r>
        <w:rPr>
          <w:rFonts w:ascii="Cambria" w:hAnsi="Cambria"/>
          <w:b/>
          <w:bCs/>
          <w:color w:val="auto"/>
          <w:sz w:val="24"/>
          <w:szCs w:val="24"/>
        </w:rPr>
        <w:t>DISPOSIÇÕES DE OBSERVÂNCIA OBRIGATÓRIA PELO PROPONENTE NO CURSO NO PROCEDIMENTO LICITATÓRIO.</w:t>
      </w:r>
    </w:p>
    <w:p>
      <w:pPr>
        <w:pBdr>
          <w:top w:val="nil"/>
          <w:left w:val="nil"/>
          <w:bottom w:val="nil"/>
          <w:right w:val="nil"/>
          <w:between w:val="nil"/>
        </w:pBdr>
        <w:tabs>
          <w:tab w:val="left" w:pos="5103"/>
        </w:tabs>
        <w:ind w:left="-1134"/>
        <w:rPr>
          <w:rFonts w:ascii="Cambria" w:eastAsia="Arial" w:hAnsi="Cambria" w:cs="Arial"/>
          <w:color w:val="000000"/>
          <w:sz w:val="24"/>
          <w:szCs w:val="24"/>
        </w:rPr>
      </w:pPr>
      <w:r>
        <w:rPr>
          <w:rFonts w:ascii="Cambria" w:eastAsia="Arial" w:hAnsi="Cambria" w:cs="Arial"/>
          <w:noProof/>
          <w:color w:val="000000"/>
          <w:sz w:val="24"/>
          <w:szCs w:val="24"/>
        </w:rPr>
        <w:drawing>
          <wp:inline distT="0" distB="0" distL="0" distR="0">
            <wp:extent cx="6448425" cy="85725"/>
            <wp:effectExtent l="0" t="0" r="0" b="0"/>
            <wp:docPr id="17645733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O proponente interessado na participação da presente licitação fica OBRIGADO a:</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Responsabilizar-se pela proposta, declarações, documentos e demais informações cadastradas ou anexadas a plataforma eletrônica “Compras Gov”, bem como pelos registros realizados no CHAT durante o processamento e julgamento do certame;</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Realizar as declarações eletrônicas exigidas no cadastro da proposta na plataforma eletrônica “Compras Gov”, sem qualquer falseamento da verdade;</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Remeter, no prazo estabelecido, EXCLUSIVAMENTE VIA SISTEMA, os documentos de habilitação, a proposta e, quando necessário, os documentos complementares solicitados no presente Edital e seus ANEXOS;</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Manter-se logado (online) ao “Compras Gov”, acompanhando os trabalhos de processamento do certame durante toda a Sessão Pública Eletrônica, atendendo tempestivamente aos chamados do(a) Pregoeiro(a) via CHAT;</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Cumprir integralmente a proposta comercial cadastrada ou o lance final registrado no “Compras Gov”;</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fazer declaração falsa ou não apresentar documento falso;</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cometer fraude fiscal;</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formar conluio ou combinar proposta com concorrente(s);</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fraudar ou frustrar a concorrência com utilização de mecanismos eletrônicos de registro de propostas, lances e/ou documentos;</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indicar, para fins de garantia do anonimato da fase competitiva, qualquer tipo de caractere especial identificador da empresa no cadastro da proposta eletrônica no “Compras Gov”;</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Manter atualizadas todas as informações da empresa no SICAF que possam facilitar a comunicação, particularmente telefones e e-mail;</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praticar qualquer ato lesivo à Administração Pública contido no art. 5º da Lei nº 12.846/2013.</w:t>
      </w:r>
    </w:p>
    <w:p>
      <w:pPr>
        <w:numPr>
          <w:ilvl w:val="0"/>
          <w:numId w:val="1"/>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se enquadrar em nenhuma das proibições indicadas nas alíneas do item 3.2 deste Edital.</w:t>
      </w:r>
    </w:p>
    <w:p>
      <w:pPr>
        <w:pStyle w:val="Ttulo1"/>
        <w:numPr>
          <w:ilvl w:val="0"/>
          <w:numId w:val="28"/>
        </w:numPr>
        <w:tabs>
          <w:tab w:val="left" w:pos="284"/>
          <w:tab w:val="left" w:pos="5103"/>
        </w:tabs>
        <w:ind w:left="0" w:firstLine="0"/>
        <w:rPr>
          <w:rFonts w:ascii="Cambria" w:hAnsi="Cambria"/>
          <w:b/>
          <w:bCs/>
          <w:color w:val="auto"/>
          <w:sz w:val="24"/>
          <w:szCs w:val="24"/>
        </w:rPr>
      </w:pPr>
      <w:bookmarkStart w:id="10" w:name="_heading=h.17dp8vu" w:colFirst="0" w:colLast="0"/>
      <w:bookmarkEnd w:id="10"/>
      <w:r>
        <w:rPr>
          <w:rFonts w:ascii="Cambria" w:hAnsi="Cambria"/>
          <w:b/>
          <w:bCs/>
          <w:color w:val="auto"/>
          <w:sz w:val="24"/>
          <w:szCs w:val="24"/>
        </w:rPr>
        <w:t>DO CREDENCIAMENTO DO PROPONENTE NA PLATAFORMA ELETRÔNICA.</w:t>
      </w:r>
    </w:p>
    <w:p>
      <w:pPr>
        <w:pBdr>
          <w:top w:val="nil"/>
          <w:left w:val="nil"/>
          <w:bottom w:val="nil"/>
          <w:right w:val="nil"/>
          <w:between w:val="nil"/>
        </w:pBdr>
        <w:tabs>
          <w:tab w:val="left" w:pos="5103"/>
        </w:tabs>
        <w:ind w:left="-1134"/>
        <w:rPr>
          <w:rFonts w:ascii="Cambria" w:eastAsia="Arial" w:hAnsi="Cambria" w:cs="Arial"/>
          <w:color w:val="000000"/>
          <w:sz w:val="24"/>
          <w:szCs w:val="24"/>
        </w:rPr>
      </w:pPr>
      <w:r>
        <w:rPr>
          <w:rFonts w:ascii="Cambria" w:eastAsia="Arial" w:hAnsi="Cambria" w:cs="Arial"/>
          <w:noProof/>
          <w:color w:val="000000"/>
          <w:sz w:val="24"/>
          <w:szCs w:val="24"/>
        </w:rPr>
        <w:drawing>
          <wp:inline distT="0" distB="0" distL="0" distR="0">
            <wp:extent cx="6448425" cy="85725"/>
            <wp:effectExtent l="0" t="0" r="0" b="0"/>
            <wp:docPr id="17645733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interessados aptos à participação do presente procedimento licitatório deverão providenciar o cadastramento do proponente junto ao “Compras Gov”.</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Credenciamento junto ao “Compras Gov”, que permite a participação dos interessados na modalidade licitatória Pregão, em sua forma eletrônica.</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credenciamento junto ao provedor do sistema implica a responsabilidade do proponente ou de seu representante legal e a presunção de sua capacidade técnica para realização das transações inerentes a este Pregão.</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perda da senha ou a quebra de sigilo deverão ser comunicadas imediatamente ao provedor do sistema para imediato bloqueio de acesso.</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É de exclusiva responsabilidade do usuário o sigilo da senha, bem como seu uso em qualquer transação efetuada diretamente ou por seu representante, não cabendo à </w:t>
      </w:r>
      <w:r>
        <w:rPr>
          <w:rFonts w:ascii="Cambria" w:eastAsia="Arial" w:hAnsi="Cambria" w:cs="Arial"/>
          <w:b/>
          <w:color w:val="000000"/>
          <w:sz w:val="24"/>
          <w:szCs w:val="24"/>
        </w:rPr>
        <w:t xml:space="preserve">PREFEITURA </w:t>
      </w:r>
      <w:r>
        <w:rPr>
          <w:rFonts w:ascii="Cambria" w:eastAsia="Arial" w:hAnsi="Cambria" w:cs="Arial"/>
          <w:b/>
          <w:color w:val="000000"/>
          <w:sz w:val="24"/>
          <w:szCs w:val="24"/>
        </w:rPr>
        <w:lastRenderedPageBreak/>
        <w:t xml:space="preserve">MUNICIPAL DE MIRAÍMA/CE </w:t>
      </w:r>
      <w:r>
        <w:rPr>
          <w:rFonts w:ascii="Cambria" w:eastAsia="Arial" w:hAnsi="Cambria" w:cs="Arial"/>
          <w:color w:val="000000"/>
          <w:sz w:val="24"/>
          <w:szCs w:val="24"/>
        </w:rPr>
        <w:t xml:space="preserve">ou ao “Compras Gov”, a responsabilidade por eventuais danos decorrentes do seu uso indevido, ainda que por terceiros. </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pStyle w:val="Ttulo1"/>
        <w:numPr>
          <w:ilvl w:val="0"/>
          <w:numId w:val="28"/>
        </w:numPr>
        <w:tabs>
          <w:tab w:val="left" w:pos="284"/>
          <w:tab w:val="left" w:pos="5103"/>
        </w:tabs>
        <w:ind w:left="0" w:firstLine="0"/>
        <w:rPr>
          <w:rFonts w:ascii="Cambria" w:hAnsi="Cambria"/>
          <w:b/>
          <w:bCs/>
          <w:color w:val="auto"/>
          <w:sz w:val="24"/>
          <w:szCs w:val="24"/>
        </w:rPr>
      </w:pPr>
      <w:bookmarkStart w:id="11" w:name="_heading=h.3rdcrjn" w:colFirst="0" w:colLast="0"/>
      <w:bookmarkEnd w:id="11"/>
      <w:r>
        <w:rPr>
          <w:rFonts w:ascii="Cambria" w:hAnsi="Cambria"/>
          <w:b/>
          <w:bCs/>
          <w:color w:val="auto"/>
          <w:sz w:val="24"/>
          <w:szCs w:val="24"/>
        </w:rPr>
        <w:t>PARÂMETROS DOS DOCUMENTOS A SEREM APRESENTADOS NO PROCEDIMENTO.</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Cada proponente deverá apresentar através do sistema “Compras Gov” os documentos exigidos inicialmente por meio da internet, sendo:</w:t>
      </w:r>
    </w:p>
    <w:p>
      <w:pPr>
        <w:keepLines/>
        <w:widowControl w:val="0"/>
        <w:pBdr>
          <w:top w:val="nil"/>
          <w:left w:val="nil"/>
          <w:bottom w:val="nil"/>
          <w:right w:val="nil"/>
          <w:between w:val="nil"/>
        </w:pBdr>
        <w:tabs>
          <w:tab w:val="left" w:pos="5103"/>
        </w:tabs>
        <w:ind w:firstLine="708"/>
        <w:jc w:val="both"/>
        <w:rPr>
          <w:rFonts w:ascii="Cambria" w:eastAsia="Arial" w:hAnsi="Cambria" w:cs="Arial"/>
          <w:color w:val="000000"/>
          <w:sz w:val="24"/>
          <w:szCs w:val="24"/>
        </w:rPr>
      </w:pPr>
      <w:r>
        <w:rPr>
          <w:rFonts w:ascii="Cambria" w:eastAsia="Arial" w:hAnsi="Cambria" w:cs="Arial"/>
          <w:color w:val="000000"/>
          <w:sz w:val="24"/>
          <w:szCs w:val="24"/>
        </w:rPr>
        <w:t>a) a Proposta de Preços e seus ANEXOS;</w:t>
      </w:r>
    </w:p>
    <w:p>
      <w:pPr>
        <w:keepLines/>
        <w:widowControl w:val="0"/>
        <w:pBdr>
          <w:top w:val="nil"/>
          <w:left w:val="nil"/>
          <w:bottom w:val="nil"/>
          <w:right w:val="nil"/>
          <w:between w:val="nil"/>
        </w:pBdr>
        <w:tabs>
          <w:tab w:val="left" w:pos="5103"/>
        </w:tabs>
        <w:ind w:left="708"/>
        <w:jc w:val="both"/>
        <w:rPr>
          <w:rFonts w:ascii="Cambria" w:eastAsia="Arial" w:hAnsi="Cambria" w:cs="Arial"/>
          <w:color w:val="000000"/>
          <w:sz w:val="24"/>
          <w:szCs w:val="24"/>
        </w:rPr>
      </w:pPr>
      <w:r>
        <w:rPr>
          <w:rFonts w:ascii="Cambria" w:eastAsia="Arial" w:hAnsi="Cambria" w:cs="Arial"/>
          <w:color w:val="000000"/>
          <w:sz w:val="24"/>
          <w:szCs w:val="24"/>
        </w:rPr>
        <w:t>b) os Documentos de Habilitação;</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documentos, em formato de arquivo, a serem enviados via internet somente poderão ter as extensões *.doc, *.xls, ou *.pdf.</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É dever da proponente atualizar previamente os documentos constantes no SICAF para que estejam vigentes na data da abertura da sessão pública, ou encaminhar, em conjunto com a apresentação da proposta, a respectiva documentação atualizada.</w:t>
      </w:r>
    </w:p>
    <w:p>
      <w:pPr>
        <w:pStyle w:val="Ttulo1"/>
        <w:numPr>
          <w:ilvl w:val="0"/>
          <w:numId w:val="28"/>
        </w:numPr>
        <w:tabs>
          <w:tab w:val="left" w:pos="284"/>
          <w:tab w:val="left" w:pos="5103"/>
        </w:tabs>
        <w:ind w:left="0" w:firstLine="0"/>
        <w:rPr>
          <w:rFonts w:ascii="Cambria" w:hAnsi="Cambria"/>
          <w:b/>
          <w:bCs/>
          <w:color w:val="auto"/>
          <w:sz w:val="24"/>
          <w:szCs w:val="24"/>
        </w:rPr>
      </w:pPr>
      <w:bookmarkStart w:id="12" w:name="_heading=h.26in1rg" w:colFirst="0" w:colLast="0"/>
      <w:bookmarkEnd w:id="12"/>
      <w:r>
        <w:rPr>
          <w:rFonts w:ascii="Cambria" w:hAnsi="Cambria"/>
          <w:b/>
          <w:bCs/>
          <w:color w:val="auto"/>
          <w:sz w:val="24"/>
          <w:szCs w:val="24"/>
        </w:rPr>
        <w:t>DA PROPOSTA DE PREÇOS</w:t>
      </w:r>
    </w:p>
    <w:p>
      <w:pPr>
        <w:tabs>
          <w:tab w:val="left" w:pos="5103"/>
        </w:tabs>
        <w:ind w:left="-1134"/>
        <w:rPr>
          <w:rFonts w:ascii="Cambria" w:eastAsia="Arial" w:hAnsi="Cambria" w:cs="Arial"/>
          <w:color w:val="FF0000"/>
          <w:sz w:val="24"/>
          <w:szCs w:val="24"/>
        </w:rPr>
      </w:pPr>
      <w:r>
        <w:rPr>
          <w:rFonts w:ascii="Cambria" w:eastAsia="Arial" w:hAnsi="Cambria" w:cs="Arial"/>
          <w:noProof/>
          <w:color w:val="FF0000"/>
          <w:sz w:val="24"/>
          <w:szCs w:val="24"/>
        </w:rPr>
        <w:drawing>
          <wp:inline distT="0" distB="0" distL="0" distR="0">
            <wp:extent cx="6448425" cy="85725"/>
            <wp:effectExtent l="0" t="0" r="0" b="0"/>
            <wp:docPr id="17645733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FORMALIDADES QUANTO A PROPOSTA DE PREÇOS: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Proposta de Preços, sob pena de desclassificação, deverá ser elaborada conforme o anexo 02 deste instrumento, em papel timbrado da proponente, estando, ainda, devidamente assinada e sendo enviada exclusivamente por meio da plataforma do “Compras Gov”, caracterizando o item proposto no campo discriminado, em conformidade com o Termo de Referência – anexo 01 do Edital.</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r>
        <w:rPr>
          <w:rFonts w:ascii="Cambria" w:eastAsia="Arial" w:hAnsi="Cambria" w:cs="Arial"/>
          <w:sz w:val="24"/>
          <w:szCs w:val="24"/>
        </w:rPr>
        <w:t>.</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tabs>
          <w:tab w:val="left" w:pos="5103"/>
        </w:tabs>
        <w:jc w:val="both"/>
        <w:rPr>
          <w:rFonts w:ascii="Cambria" w:eastAsia="Arial" w:hAnsi="Cambria" w:cs="Arial"/>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DO CADASTRAMENTO DA PROPOSTA DE PREÇOS: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A participação neste certame licitatório dar-se-á pela utilização da senha de acesso individual a plataforma eletrônica “Compras Gov” de cada proponente, mediante prévio cadastro da proposta até a data e horário previstos para abertura da sessão do certame.</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Nos termos do art. 63, da Lei 14.133/2021, o proponente DEVERÁ, OBRIGATÓRIA E PREVIAMENTE, registrar sua proposta de preços (inicial) na plataforma do “Compras Gov”, como também ANEXAR o arquivo correspondente a proposta (juntamente com os documentos e informações técnicas de comprovação da qualidade do objeto proposto, casos sejam exigidos no Termo de Referência), até a data e horário marcados para abertura da sessão.</w:t>
      </w:r>
    </w:p>
    <w:p>
      <w:pPr>
        <w:pBdr>
          <w:top w:val="nil"/>
          <w:left w:val="nil"/>
          <w:bottom w:val="nil"/>
          <w:right w:val="nil"/>
          <w:between w:val="nil"/>
        </w:pBdr>
        <w:tabs>
          <w:tab w:val="left" w:pos="426"/>
          <w:tab w:val="left" w:pos="5103"/>
        </w:tabs>
        <w:jc w:val="both"/>
        <w:rPr>
          <w:rFonts w:ascii="Cambria" w:eastAsia="Arial" w:hAnsi="Cambria" w:cs="Arial"/>
          <w:b/>
          <w:color w:val="000000"/>
          <w:sz w:val="24"/>
          <w:szCs w:val="24"/>
        </w:rPr>
      </w:pPr>
    </w:p>
    <w:p>
      <w:pPr>
        <w:pBdr>
          <w:top w:val="dashed" w:sz="12" w:space="1" w:color="FF0000"/>
          <w:left w:val="dashed" w:sz="12" w:space="4" w:color="FF0000"/>
          <w:bottom w:val="dashed" w:sz="12" w:space="1" w:color="FF0000"/>
          <w:right w:val="dashed" w:sz="12" w:space="4" w:color="FF0000"/>
          <w:between w:val="nil"/>
        </w:pBdr>
        <w:tabs>
          <w:tab w:val="left" w:pos="426"/>
          <w:tab w:val="left" w:pos="5103"/>
        </w:tabs>
        <w:ind w:left="142"/>
        <w:jc w:val="both"/>
        <w:rPr>
          <w:rFonts w:ascii="Cambria" w:eastAsia="Arial" w:hAnsi="Cambria" w:cs="Arial"/>
          <w:color w:val="000000"/>
          <w:sz w:val="24"/>
          <w:szCs w:val="24"/>
        </w:rPr>
      </w:pPr>
      <w:r>
        <w:rPr>
          <w:rFonts w:ascii="Cambria" w:eastAsia="Arial" w:hAnsi="Cambria" w:cs="Arial"/>
          <w:b/>
          <w:color w:val="000000"/>
          <w:sz w:val="24"/>
          <w:szCs w:val="24"/>
        </w:rPr>
        <w:t>OBSERVAÇÃO:</w:t>
      </w:r>
      <w:r>
        <w:rPr>
          <w:rFonts w:ascii="Cambria" w:eastAsia="Arial" w:hAnsi="Cambria" w:cs="Arial"/>
          <w:color w:val="000000"/>
          <w:sz w:val="24"/>
          <w:szCs w:val="24"/>
        </w:rPr>
        <w:t xml:space="preserve"> RECOMENDA-SE que também seja anexada no “Compras Gov”, juntamente com a proposta de preços inicial, todos os DOCUMENTOS DE HABILITAÇÃO exigidos para fins de julgamento do certame, observadas as exigências contidas no edital. Atentem-se para não inserir os documentos em campos inapropriados de forma que enseje na identificação da proposta de preços inicial.</w:t>
      </w:r>
    </w:p>
    <w:p>
      <w:pPr>
        <w:pBdr>
          <w:top w:val="nil"/>
          <w:left w:val="nil"/>
          <w:bottom w:val="nil"/>
          <w:right w:val="nil"/>
          <w:between w:val="nil"/>
        </w:pBdr>
        <w:tabs>
          <w:tab w:val="left" w:pos="426"/>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Serão disponibilizados para acesso público os documentos que compõem a proposta dos licitantes convocados para apresentação de propostas, após a fase de envio de lances.</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Cambria" w:eastAsia="Arial" w:hAnsi="Cambria" w:cs="Arial"/>
          <w:b/>
          <w:color w:val="000000"/>
          <w:sz w:val="24"/>
          <w:szCs w:val="24"/>
          <w:u w:val="single"/>
        </w:rPr>
        <w:t>Depois da data e horário de abertura da Sessão, não caberá qualquer alteração ou desistência de proposta.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etapa de apresentação da proposta e dos documentos de habilitação pelo proponente, observado o disposto no caput, não haverá ordem de classificação das propostas, o que ocorrerá somente após os procedimentos de julgamento.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proponente deverá consignar diretamente no Sistema, na forma nele disposta, além da descrição sucinta do objeto a ser fornecido, inclusive com indicação de marca, modelo e fabricação (se for o caso), a quantidade e os valores unitários e total do objeto proposto, já inclusas todas as despesas inerentes, tais como: impostos, taxas, fretes, seguros e demais encargos, de qualquer natureza, que se façam indispensáveis à perfeita execução do objeto.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poderá ser incluído no registro da proposta eletrônica diretamente no “Compras Gov” qualquer nome, texto, elemento ou caractere que possa identificar o proponente, sob pena de DESCLASSIFICAÇÃO da proposta e aplicação de SANÇÃO ADMINISTRATIVA.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que não emprega menor de 18 anos em trabalho noturno, perigoso ou insalubre, e não emprega menor de 16 anos, salvo, a partir de 14 anos, na condição de aprendiz, nos termos do inciso XXXIII, do art. 7º da Constituição Federal;</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que não possui, em sua cadeia produtiva, empregados executando trabalho degradante ou forçado, observando o disposto nos incisos III e IV do art. 1º e no inciso III do art. 5º da Constituição Federal;</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que está ciente e concorda com as condições contidas no Edital e seus ANEXOS, bem como de que cumpre plenamente os requisitos de habilitação definidos no edital;</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que até a presente data inexistem fatos impeditivos para a habilitação no presente processo licitatório, ciente da obrigatoriedade de declarar ocorrências posteriores;</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que a proposta foi elaborada de forma independente, nos termos da Instrução Normativa SLTI/MP nº 2, de 16 de setembro de 2009;</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no caso de Microempresa - ME, Empresas de Pequeno Porte - EPP e equiparadas, que atende aos requisitos do art. 3º da LC nº 123/2006, para fazer jus aos benefícios previstos nessa lei;</w:t>
      </w:r>
    </w:p>
    <w:p>
      <w:pPr>
        <w:numPr>
          <w:ilvl w:val="2"/>
          <w:numId w:val="2"/>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As declarações mencionadas no subitem anterior serão visualizadas pela Pregoeira na fase de habilitação, quando serão anexadas aos autos do processo de contratação juntamente com a documentação de habilitação, não havendo necessidade de envio dos arquivos pelo Sistema “Compras Gov”.</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falsidade relativa a qualquer das declarações exigidas no item anterior sujeitará o proponente às sanções administrativas previstas no item 15 deste Edital, sem prejuízo das consequências civis e penais que seu ato ensejar.</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Para cadastramento da proposta no sistema “Compras Gov”, o licitante deverá se ater ao critério de julgamento definido ao presente certame, conforme definição no quadro de resumo constante do início deste edital, podendo ser:  </w:t>
      </w:r>
    </w:p>
    <w:p>
      <w:pPr>
        <w:numPr>
          <w:ilvl w:val="3"/>
          <w:numId w:val="28"/>
        </w:numPr>
        <w:pBdr>
          <w:top w:val="nil"/>
          <w:left w:val="nil"/>
          <w:bottom w:val="nil"/>
          <w:right w:val="nil"/>
          <w:between w:val="nil"/>
        </w:pBdr>
        <w:tabs>
          <w:tab w:val="left" w:pos="426"/>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Para cadastramento da proposta e para a oferta dos lances no sistema “Compras Gov”, o licitante deverá se ater ao critério de julgamento definido ao presente certame, conforme definição no quadro de resumo constante do início deste edital, podendo o julgamento ser realizado </w:t>
      </w:r>
      <w:r>
        <w:rPr>
          <w:rFonts w:ascii="Cambria" w:eastAsia="Arial" w:hAnsi="Cambria" w:cs="Arial"/>
          <w:b/>
          <w:color w:val="000000"/>
          <w:sz w:val="24"/>
          <w:szCs w:val="24"/>
        </w:rPr>
        <w:t xml:space="preserve">POR LOTE </w:t>
      </w:r>
      <w:r>
        <w:rPr>
          <w:rFonts w:ascii="Cambria" w:eastAsia="Arial" w:hAnsi="Cambria" w:cs="Arial"/>
          <w:color w:val="000000"/>
          <w:sz w:val="24"/>
          <w:szCs w:val="24"/>
        </w:rPr>
        <w:t xml:space="preserve">ou </w:t>
      </w:r>
      <w:r>
        <w:rPr>
          <w:rFonts w:ascii="Cambria" w:eastAsia="Arial" w:hAnsi="Cambria" w:cs="Arial"/>
          <w:b/>
          <w:color w:val="000000"/>
          <w:sz w:val="24"/>
          <w:szCs w:val="24"/>
        </w:rPr>
        <w:t>POR ITEM</w:t>
      </w:r>
      <w:r>
        <w:rPr>
          <w:rFonts w:ascii="Cambria" w:eastAsia="Arial" w:hAnsi="Cambria" w:cs="Arial"/>
          <w:color w:val="000000"/>
          <w:sz w:val="24"/>
          <w:szCs w:val="24"/>
        </w:rPr>
        <w:t>. Em ambos os casos, ao oferecer proposta e ofertar os lances no sistema “Compras Gov” o valor a ser observado pelo fornecedor refere-se ao PREÇO UNITÁRIO DO ITEM.</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Desde que disponibilizada a funcionalidade no sistema, o licitante poderá, quando do cadastramento da proposta, parametrizar o seu valor final mínimo e obedecerá às seguintes regras: </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lances serão de envio automático pelo sistema, respeitado o valor final mínimo estabelecido e o intervalo de que trata o subitem anterior.</w:t>
      </w:r>
    </w:p>
    <w:p>
      <w:pPr>
        <w:pBdr>
          <w:top w:val="nil"/>
          <w:left w:val="nil"/>
          <w:bottom w:val="nil"/>
          <w:right w:val="nil"/>
          <w:between w:val="nil"/>
        </w:pBdr>
        <w:tabs>
          <w:tab w:val="left" w:pos="426"/>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PRECAUÇÕES E COMPROMISSOS QUANTO A PROPOSTA DE PREÇOS: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 xml:space="preserve">O registro de proposta de preços eletrônica, </w:t>
      </w:r>
      <w:r>
        <w:rPr>
          <w:rFonts w:ascii="Cambria" w:eastAsia="Arial" w:hAnsi="Cambria" w:cs="Arial"/>
          <w:b/>
          <w:color w:val="000000"/>
          <w:sz w:val="24"/>
          <w:szCs w:val="24"/>
        </w:rPr>
        <w:t>seja ela inicial ou final</w:t>
      </w:r>
      <w:r>
        <w:rPr>
          <w:rFonts w:ascii="Cambria" w:eastAsia="Arial" w:hAnsi="Cambria" w:cs="Arial"/>
          <w:color w:val="000000"/>
          <w:sz w:val="24"/>
          <w:szCs w:val="24"/>
        </w:rPr>
        <w:t>, vinculada ao presente certame implica, independente de declaração expressa, na(o):</w:t>
      </w:r>
    </w:p>
    <w:p>
      <w:pPr>
        <w:numPr>
          <w:ilvl w:val="2"/>
          <w:numId w:val="3"/>
        </w:numPr>
        <w:pBdr>
          <w:top w:val="nil"/>
          <w:left w:val="nil"/>
          <w:bottom w:val="nil"/>
          <w:right w:val="nil"/>
          <w:between w:val="nil"/>
        </w:pBdr>
        <w:tabs>
          <w:tab w:val="left" w:pos="426"/>
          <w:tab w:val="left" w:pos="851"/>
          <w:tab w:val="left" w:pos="5103"/>
        </w:tabs>
        <w:ind w:hanging="513"/>
        <w:jc w:val="both"/>
        <w:rPr>
          <w:rFonts w:ascii="Cambria" w:eastAsia="Arial" w:hAnsi="Cambria" w:cs="Arial"/>
          <w:color w:val="000000"/>
          <w:sz w:val="24"/>
          <w:szCs w:val="24"/>
        </w:rPr>
      </w:pPr>
      <w:r>
        <w:rPr>
          <w:rFonts w:ascii="Cambria" w:eastAsia="Arial" w:hAnsi="Cambria" w:cs="Arial"/>
          <w:color w:val="000000"/>
          <w:sz w:val="24"/>
          <w:szCs w:val="24"/>
        </w:rPr>
        <w:t>aceitação de todas as condições estabelecidas neste Edital e seus ANEXOS;</w:t>
      </w:r>
    </w:p>
    <w:p>
      <w:pPr>
        <w:numPr>
          <w:ilvl w:val="2"/>
          <w:numId w:val="3"/>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 xml:space="preserve">garantia do cumprimento da proposta por prazo mínimo de </w:t>
      </w:r>
      <w:r>
        <w:rPr>
          <w:rFonts w:ascii="Cambria" w:eastAsia="Arial" w:hAnsi="Cambria" w:cs="Arial"/>
          <w:b/>
          <w:color w:val="000000"/>
          <w:sz w:val="24"/>
          <w:szCs w:val="24"/>
        </w:rPr>
        <w:t>60 (sessenta) dias</w:t>
      </w:r>
      <w:r>
        <w:rPr>
          <w:rFonts w:ascii="Cambria" w:eastAsia="Arial" w:hAnsi="Cambria" w:cs="Arial"/>
          <w:color w:val="000000"/>
          <w:sz w:val="24"/>
          <w:szCs w:val="24"/>
        </w:rPr>
        <w:t>, contados da data de abertura da sessão pública estabelecida no preâmbulo deste Edital;</w:t>
      </w:r>
    </w:p>
    <w:p>
      <w:pPr>
        <w:numPr>
          <w:ilvl w:val="2"/>
          <w:numId w:val="3"/>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compromisso do proponente para com o rigoroso cumprimento das especificações técnicas, prazos e condições fixadas no Termo de Referência (anexo 01);</w:t>
      </w:r>
    </w:p>
    <w:p>
      <w:pPr>
        <w:numPr>
          <w:ilvl w:val="2"/>
          <w:numId w:val="3"/>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impossibilidade de posterior desistência ou declínio de proposta a partir da data da sessão eletrônica inicial, ou de requerer qualquer acréscimo de custos que deveria ter sido incluído na sua proposta;</w:t>
      </w:r>
    </w:p>
    <w:p>
      <w:pPr>
        <w:numPr>
          <w:ilvl w:val="2"/>
          <w:numId w:val="3"/>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submissão às sanções administrativas previstas neste Edital e seus ANEXOS;</w:t>
      </w:r>
    </w:p>
    <w:p>
      <w:pPr>
        <w:numPr>
          <w:ilvl w:val="2"/>
          <w:numId w:val="3"/>
        </w:numPr>
        <w:pBdr>
          <w:top w:val="nil"/>
          <w:left w:val="nil"/>
          <w:bottom w:val="nil"/>
          <w:right w:val="nil"/>
          <w:between w:val="nil"/>
        </w:pBdr>
        <w:tabs>
          <w:tab w:val="left" w:pos="426"/>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obrigação de participar ativamente do certame (ON-LINE) até a sua conclusão, encaminhando toda a documentação solicitada e/ou prestando as informações e esclarecimentos solicitados pela Pregoeira.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momento do cadastro ou registro da proposta comercial eletrônica, o proponente deverá atentar para o fato de que, por razões de limitações técnicas das especificações dos materiais constantes no catálogo do “Compras Gov”, as ESPECIFICAÇÕES TÉCNICAS COMPLETAS DO OBJETO LICITADO, para efeito de formulação da proposta de preços, serão sempre aquelas constantes do Termo de Referência (anexo 01).</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Após a abertura da sessão pública eletrônica do presente certame, não cabe em nenhuma hipótese desistência de proposta.</w:t>
      </w:r>
    </w:p>
    <w:p>
      <w:pPr>
        <w:tabs>
          <w:tab w:val="left" w:pos="426"/>
          <w:tab w:val="left" w:pos="5103"/>
        </w:tabs>
        <w:jc w:val="both"/>
        <w:rPr>
          <w:rFonts w:ascii="Cambria" w:eastAsia="Arial" w:hAnsi="Cambria" w:cs="Arial"/>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DOS PREÇOS, CLASSIFICAÇÃO E CRITÉRIO DE JULGAMENTO DA PROPOSTA: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será possível a oferta de quantidades inferiores às previstas no Termo de Referência anexo ao edital.</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preços constantes da Proposta de Preços do proponente deverão conter apenas 02 (duas) casas decimais após a vírgula em seus valores globais e unitários, inclusive em propostas de adequação, quando for o caso.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preços propostos deverão estar de acordo com o quantitativo do bem cotado.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pela Pregoeira que, dentro da situação concreta, poderá agir no sentido de prospectar maior celeridade e eficiência ao julgamento.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Ocorrendo discrepância entre o preço unitário e total, prevalecerá aquele lançado no sistema e utilizado para classificação das Propostas de Preços, devendo a Pregoeira proceder às correções necessárias.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Havendo discrepância entre a especificação dos itens do edital e seus ANEXOS e aquelas lançadas no sistema, prevalecerão as especificações do edital e seus ANEXOS.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 xml:space="preserve">Na elaboração da Proposta, o preço cotado poderá ultrapassar o valor de referência da presente licitação discriminado no MAPA DE PREÇOS presente nos autos do processo em epígrafe. Entretanto, na disputa de lances, o lance final deverá atingir preço inferior ou igual ao limite máximo constante do Mapa de Preços; o preço unitário dos itens que compõem o lote deverá ser inferior ou igual àquele limite. </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 critério de julgamento do processo licitatório será aquele constante da parte específica do procedimento. </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serão adjudicadas Propostas de Preços com valores superiores à média dos preços unitários e totais estimados para a contratação, os quais se encontram definidos no Termo de Referência.</w:t>
      </w:r>
    </w:p>
    <w:p>
      <w:pPr>
        <w:numPr>
          <w:ilvl w:val="2"/>
          <w:numId w:val="28"/>
        </w:numPr>
        <w:pBdr>
          <w:top w:val="nil"/>
          <w:left w:val="nil"/>
          <w:bottom w:val="nil"/>
          <w:right w:val="nil"/>
          <w:between w:val="nil"/>
        </w:pBdr>
        <w:tabs>
          <w:tab w:val="left" w:pos="426"/>
          <w:tab w:val="left" w:pos="709"/>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Pregoeira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desclassificada a Proposta de Preços apresentada em desconformidade com este item.</w:t>
      </w:r>
    </w:p>
    <w:p>
      <w:pPr>
        <w:pStyle w:val="Ttulo1"/>
        <w:numPr>
          <w:ilvl w:val="0"/>
          <w:numId w:val="28"/>
        </w:numPr>
        <w:tabs>
          <w:tab w:val="left" w:pos="284"/>
          <w:tab w:val="left" w:pos="5103"/>
        </w:tabs>
        <w:ind w:left="0" w:firstLine="0"/>
        <w:rPr>
          <w:rFonts w:ascii="Cambria" w:hAnsi="Cambria"/>
          <w:b/>
          <w:bCs/>
          <w:color w:val="auto"/>
          <w:sz w:val="24"/>
          <w:szCs w:val="24"/>
        </w:rPr>
      </w:pPr>
      <w:bookmarkStart w:id="13" w:name="_heading=h.lnxbz9" w:colFirst="0" w:colLast="0"/>
      <w:bookmarkEnd w:id="13"/>
      <w:r>
        <w:rPr>
          <w:rFonts w:ascii="Cambria" w:hAnsi="Cambria"/>
          <w:b/>
          <w:bCs/>
          <w:color w:val="auto"/>
          <w:sz w:val="24"/>
          <w:szCs w:val="24"/>
        </w:rPr>
        <w:t>DOS DOCUMENTOS DE HABILITAÇÃO</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 Os documentos de habilitação previstos no Termo de Referência serão exigidos apenas do licitante cuja proposta tenha sido aceita na fase de julgamento. </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8.1.1. Os documentos exigidos para fins de comprovação da habilitação jurídica, fiscal, social e trabalhista e econômico-ﬁnanceira, poderão ser substituídos pelo registro cadastral no SICAF.</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“Compras Gov”, quando solicitados pelo Agente de Contratação. </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 xml:space="preserve">8.2.1. Os documentos deverão ser apresentados em formato digital, no prazo de até 02 (duas) horas, contados da convocação efetuada pelo Agente de Contratação.  </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8.2.1.1. É facultado ao Pregoeiro prorrogar o prazo estabelecido acima, por igual período, nas seguintes situações:</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a) por solicitação do licitante, mediante justificativa aceita pelo Pregoeiro;</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b) de ofício, a critério do Pregoeiro, quando constatado que o prazo estabelecido não é suficiente para o envio dos documentos exigidos.</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lastRenderedPageBreak/>
        <w:t xml:space="preserve">8.2.2. Os documentos remetidos por meio da opção “Enviar Anexo” do sistema “Compras Gov”, poderão ser solicitados em original ou por cópia autenticada, caso haja dúvida justificada, a qualquer momento, em prazo a ser estabelecido pelo Pregoeiro. </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verificação pelo Pregoeiro em sítios eletrônicos oficiais de órgãos e entidades emissores de certidões constitui meio legal de prova para fins de habilitação. </w:t>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Após a apresentação dos documentos de habilitação, fica vedada a substituição ou a apresentação de novos documentos, salvo em sede de diligência, para: </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 xml:space="preserve">8.4.1. Complementação de informações acerca dos documentos já apresentados pelos licitantes e desde que necessária para apurar fatos existentes à época da abertura do certame; </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8.4.2. Atualização de documentos cuja validade tenha expirado após a data de recebimento das propostas.</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8.7. Somente serão disponibilizados para acesso público os documentos de habilitação do licitante cuja proposta atenda ao edital de licitação, após concluídos os procedimentos de que trata o subitem anterior.</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8.8. A comprovação de regularidade fiscal e trabalhista dos beneficiários da Lei Complementar n° 123/06 somente será exigida para a adjudicação, e não como condição para participação na licitação.</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8.9. Quando permitida a participação de empresas estrangeiras que não funcionem no País, as exigências de habilitação serão atendidas mediante documentos equivalentes, inicialmente apresentados em tradução livre.</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8.9.1. Na hipótese de o licitante vencedor ser empresa estrangeira que não funcione no País, para ﬁns de assinatura do contrato,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tabs>
          <w:tab w:val="left" w:pos="426"/>
          <w:tab w:val="left" w:pos="5103"/>
        </w:tabs>
        <w:jc w:val="both"/>
        <w:rPr>
          <w:rFonts w:ascii="Cambria" w:eastAsia="Arial" w:hAnsi="Cambria" w:cs="Arial"/>
          <w:sz w:val="24"/>
          <w:szCs w:val="24"/>
        </w:rPr>
      </w:pPr>
      <w:r>
        <w:rPr>
          <w:rFonts w:ascii="Cambria" w:eastAsia="Arial" w:hAnsi="Cambria" w:cs="Arial"/>
          <w:sz w:val="24"/>
          <w:szCs w:val="24"/>
        </w:rPr>
        <w:t>8.10. Comprovada a regularidade da habilitação, o licitante será reputado habilitado e será declarado vencedor do lote.</w:t>
      </w:r>
    </w:p>
    <w:p>
      <w:pPr>
        <w:pStyle w:val="Ttulo1"/>
        <w:numPr>
          <w:ilvl w:val="0"/>
          <w:numId w:val="28"/>
        </w:numPr>
        <w:tabs>
          <w:tab w:val="left" w:pos="284"/>
          <w:tab w:val="left" w:pos="5103"/>
        </w:tabs>
        <w:ind w:left="0" w:firstLine="0"/>
        <w:rPr>
          <w:rFonts w:ascii="Cambria" w:hAnsi="Cambria"/>
          <w:b/>
          <w:bCs/>
          <w:sz w:val="24"/>
          <w:szCs w:val="24"/>
        </w:rPr>
      </w:pPr>
      <w:bookmarkStart w:id="14" w:name="_heading=h.35nkun2" w:colFirst="0" w:colLast="0"/>
      <w:bookmarkEnd w:id="14"/>
      <w:r>
        <w:rPr>
          <w:rFonts w:ascii="Cambria" w:hAnsi="Cambria"/>
          <w:b/>
          <w:bCs/>
          <w:color w:val="auto"/>
          <w:sz w:val="24"/>
          <w:szCs w:val="24"/>
        </w:rPr>
        <w:lastRenderedPageBreak/>
        <w:t>DA SESSÃO PÚBLICA.</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DISPOSIÇÕES PRELIMINARES: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Pregão será do tipo Eletrônico o qual será realizado em sessão pública por meio da plataforma “Compras Gov”, mediante condições de segurança - criptografia e autenticação - em todas as suas fases através do Sistema de Pregão Eletrônico.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trabalhos serão conduzidos por servidor da Prefeitura Municipal de Miraíma/CE, agente de contratação denominado como Pregoeiro.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proponente poderá enviar as informações da Proposta de Preços e documentos de habilitação e participar da disputa através da plataforma eletrônica.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participação no Pregão Eletrônico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abertura da sessão pública deste Pregão, conduzida pela Pregoeira designado ao respectivo procedimento administrativo, ocorrerá na data e na hora indicadas no preâmbulo deste Edital.</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comunicação entre o(a) Pregoeiro(a) e os proponentes ocorrerá EXCLUSIVAMENTE mediante troca de mensagens, em campo próprio da plataforma eletrônica (CHAT), o qual será gerenciado diretamente pelo(a) Pregoeiro(a) e será integralmente reproduzido na Ata da Sessão Eletrônica.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Cabe ao PROPONENTE acompanhar as operações na plataforma eletrônica “Compras Gov”, anexar a PROPOSTA DE PREÇOS INICIAL, registrar os LANCES, anexar a PROPOSTA DE PREÇOS FINAL (CONSOLIDADA), a DOCUMENTAÇÃO DE HABILITAÇÃO,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Toda a Sessão Pública será documentada automaticamente pelo sistema na respectiva ATA DA SESSÃO, a qual será gerada e </w:t>
      </w:r>
      <w:r>
        <w:rPr>
          <w:rFonts w:ascii="Cambria" w:eastAsia="Arial" w:hAnsi="Cambria" w:cs="Arial"/>
          <w:color w:val="000000"/>
          <w:sz w:val="24"/>
          <w:szCs w:val="24"/>
        </w:rPr>
        <w:lastRenderedPageBreak/>
        <w:t>disponibilizada para consulta de todos os interessados por meio da plataforma eletrônica “Compras Gov”.</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de ocorrer desconexão do(a) Pregoeiro(a) no decorrer da Sessão e a plataforma eletrônica permanecer acessível aos proponentes, os trabalhos continuarão e os lances serão recebidos, sem qualquer prejuízo dos atos realizados.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caso de a desconexão do(a) Pregoeiro(a) persistir por tempo superior a DEZ MINUTOS, a Sessão do Pregão será suspensa automaticamente e terá reinício somente 24h (vinte e quatro horas) após comunicação expressa aos participantes, por meio da plataforma eletrônica no sítio (http://www.compras.gov.br).</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Cabe ao proponente acompanhar continuamente os documentos, pareceres e atos divulgados ou disponibilizados por meio do Portal de Licitações do TCE/CE.</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Havendo necessidade, o(a) Pregoeiro(a) poderá suspender a Sessão com a devida comunicação prévia via CHAT, como também registrando na plataforma eletrônica “Compras Gov” a nova data e horário para a sua continuidade.</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 face do horário, poderá o(a) Pregoeiro(a) estabelecer intervalo para almoço, sem a suspensão da Sessão, mediante comunicação prévia via CHAT.</w:t>
      </w:r>
    </w:p>
    <w:p>
      <w:pPr>
        <w:pBdr>
          <w:top w:val="nil"/>
          <w:left w:val="nil"/>
          <w:bottom w:val="nil"/>
          <w:right w:val="nil"/>
          <w:between w:val="nil"/>
        </w:pBdr>
        <w:tabs>
          <w:tab w:val="left" w:pos="426"/>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ABERTURA DAS PROPOSTAS DE PREÇOS: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O(A) Pregoeiro(a) realizará previamente a sessão eletrônica, a configuração quanto a operacionalização do julgamento na plataforma, informando o período para análise da(s) proposta(s) de preços inicia(l)(is), a quantidade máxima de itens e ou lotes a serem disputados simultaneamente, dentre outros parâmetros relativos à disputa.</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tabs>
          <w:tab w:val="left" w:pos="5103"/>
        </w:tabs>
        <w:jc w:val="both"/>
        <w:rPr>
          <w:rFonts w:ascii="Cambria" w:eastAsia="Arial" w:hAnsi="Cambria" w:cs="Arial"/>
          <w:b/>
          <w:color w:val="FF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FASE DE LANCES.</w:t>
      </w: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fase de lances poderá ocorrer sob o formato de disputa em modo “aberto” ou “aberto fechado”, conforme assinalado no quadro resumo constante do início do edital, devendo o licitante atentar-se quanto ao formato definido, observando, ainda:</w:t>
      </w:r>
    </w:p>
    <w:p>
      <w:pPr>
        <w:pBdr>
          <w:top w:val="nil"/>
          <w:left w:val="nil"/>
          <w:bottom w:val="nil"/>
          <w:right w:val="nil"/>
          <w:between w:val="nil"/>
        </w:pBdr>
        <w:tabs>
          <w:tab w:val="left" w:pos="426"/>
          <w:tab w:val="left" w:pos="5103"/>
        </w:tabs>
        <w:jc w:val="both"/>
        <w:rPr>
          <w:rFonts w:ascii="Cambria" w:eastAsia="Arial" w:hAnsi="Cambria" w:cs="Arial"/>
          <w:b/>
          <w:color w:val="000000"/>
          <w:sz w:val="24"/>
          <w:szCs w:val="24"/>
        </w:rPr>
      </w:pP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DO MODO DE DISPUTA ABERTO:</w:t>
      </w:r>
    </w:p>
    <w:p>
      <w:pPr>
        <w:numPr>
          <w:ilvl w:val="3"/>
          <w:numId w:val="28"/>
        </w:numPr>
        <w:pBdr>
          <w:top w:val="nil"/>
          <w:left w:val="nil"/>
          <w:bottom w:val="nil"/>
          <w:right w:val="nil"/>
          <w:between w:val="nil"/>
        </w:pBdr>
        <w:tabs>
          <w:tab w:val="left" w:pos="99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modo de disputa “ABERTO”, de que trata este edital, os proponentes apresentarão lances públicos e sucessivos, observados os seguintes procedimentos:</w:t>
      </w:r>
    </w:p>
    <w:p>
      <w:pPr>
        <w:numPr>
          <w:ilvl w:val="3"/>
          <w:numId w:val="4"/>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etapa de envio de lances na sessão pública durará DEZ MINUTOS e, após isso, será prorrogada automaticamente pelo sistema quando houver lance ofertado nos ÚLTIMOS DOIS MINUTOS do período de duração da sessão pública.</w:t>
      </w:r>
    </w:p>
    <w:p>
      <w:pPr>
        <w:numPr>
          <w:ilvl w:val="3"/>
          <w:numId w:val="4"/>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numPr>
          <w:ilvl w:val="3"/>
          <w:numId w:val="4"/>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Na hipótese de não haver novos lances na forma estabelecida nas alíneas anteriores, a sessão pública será encerrada automaticamente.</w:t>
      </w:r>
    </w:p>
    <w:p>
      <w:pPr>
        <w:pBdr>
          <w:top w:val="nil"/>
          <w:left w:val="nil"/>
          <w:bottom w:val="nil"/>
          <w:right w:val="nil"/>
          <w:between w:val="nil"/>
        </w:pBdr>
        <w:tabs>
          <w:tab w:val="left" w:pos="851"/>
          <w:tab w:val="left" w:pos="5103"/>
        </w:tabs>
        <w:jc w:val="both"/>
        <w:rPr>
          <w:rFonts w:ascii="Cambria" w:eastAsia="Arial" w:hAnsi="Cambria" w:cs="Arial"/>
          <w:b/>
          <w:color w:val="000000"/>
          <w:sz w:val="24"/>
          <w:szCs w:val="24"/>
        </w:rPr>
      </w:pP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DO MODO DE DISPUTA ABERTO E FECHADO:</w:t>
      </w:r>
    </w:p>
    <w:p>
      <w:pPr>
        <w:tabs>
          <w:tab w:val="left" w:pos="284"/>
          <w:tab w:val="left" w:pos="5103"/>
        </w:tabs>
        <w:jc w:val="both"/>
        <w:rPr>
          <w:rFonts w:ascii="Cambria" w:eastAsia="Arial" w:hAnsi="Cambria" w:cs="Arial"/>
          <w:sz w:val="24"/>
          <w:szCs w:val="24"/>
        </w:rPr>
      </w:pPr>
      <w:r>
        <w:rPr>
          <w:rFonts w:ascii="Cambria" w:eastAsia="Arial" w:hAnsi="Cambria" w:cs="Arial"/>
          <w:sz w:val="24"/>
          <w:szCs w:val="24"/>
        </w:rPr>
        <w:t>9.3.3.1. Caso seja adotado para o envio de lances no pregão eletrônico o modo de disputa “aberto e fechado”, os licitantes apresentarão lances públicos e sucessivos, com lance final e fechado.</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a)</w:t>
      </w:r>
      <w:r>
        <w:rPr>
          <w:rFonts w:ascii="Cambria" w:eastAsia="Arial" w:hAnsi="Cambria" w:cs="Arial"/>
          <w:sz w:val="24"/>
          <w:szCs w:val="24"/>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b)</w:t>
      </w:r>
      <w:r>
        <w:rPr>
          <w:rFonts w:ascii="Cambria" w:eastAsia="Arial" w:hAnsi="Cambria" w:cs="Arial"/>
          <w:sz w:val="24"/>
          <w:szCs w:val="24"/>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 xml:space="preserve">c) </w:t>
      </w:r>
      <w:r>
        <w:rPr>
          <w:rFonts w:ascii="Cambria" w:eastAsia="Arial" w:hAnsi="Cambria" w:cs="Arial"/>
          <w:sz w:val="24"/>
          <w:szCs w:val="24"/>
        </w:rPr>
        <w:t>No procedimento de que trata o subitem supra, o licitante poderá optar por manter o seu último lance da etapa aberta, ou por ofertar melhor lance.</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 xml:space="preserve">d) </w:t>
      </w:r>
      <w:r>
        <w:rPr>
          <w:rFonts w:ascii="Cambria" w:eastAsia="Arial" w:hAnsi="Cambria" w:cs="Arial"/>
          <w:sz w:val="24"/>
          <w:szCs w:val="24"/>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Bdr>
          <w:top w:val="nil"/>
          <w:left w:val="nil"/>
          <w:bottom w:val="nil"/>
          <w:right w:val="nil"/>
          <w:between w:val="nil"/>
        </w:pBdr>
        <w:tabs>
          <w:tab w:val="left" w:pos="284"/>
          <w:tab w:val="left" w:pos="5103"/>
        </w:tabs>
        <w:jc w:val="both"/>
        <w:rPr>
          <w:rFonts w:ascii="Cambria" w:eastAsia="Arial" w:hAnsi="Cambria" w:cs="Arial"/>
          <w:color w:val="000000"/>
          <w:sz w:val="24"/>
          <w:szCs w:val="24"/>
        </w:rPr>
      </w:pPr>
      <w:r>
        <w:rPr>
          <w:rFonts w:ascii="Cambria" w:eastAsia="Arial" w:hAnsi="Cambria" w:cs="Arial"/>
          <w:b/>
          <w:color w:val="000000"/>
          <w:sz w:val="24"/>
          <w:szCs w:val="24"/>
        </w:rPr>
        <w:t>e)</w:t>
      </w:r>
      <w:r>
        <w:rPr>
          <w:rFonts w:ascii="Cambria" w:eastAsia="Arial" w:hAnsi="Cambria" w:cs="Arial"/>
          <w:color w:val="000000"/>
          <w:sz w:val="24"/>
          <w:szCs w:val="24"/>
        </w:rPr>
        <w:t xml:space="preserve"> Após o término dos prazos estabelecidos nos itens anteriores, o sistema ordenará e divulgará os lances segundo a ordem crescente de valores.</w:t>
      </w:r>
    </w:p>
    <w:p>
      <w:pPr>
        <w:pBdr>
          <w:top w:val="nil"/>
          <w:left w:val="nil"/>
          <w:bottom w:val="nil"/>
          <w:right w:val="nil"/>
          <w:between w:val="nil"/>
        </w:pBdr>
        <w:tabs>
          <w:tab w:val="left" w:pos="284"/>
          <w:tab w:val="left" w:pos="5103"/>
        </w:tabs>
        <w:jc w:val="both"/>
        <w:rPr>
          <w:rFonts w:ascii="Cambria" w:eastAsia="Arial" w:hAnsi="Cambria" w:cs="Arial"/>
          <w:color w:val="000000"/>
          <w:sz w:val="24"/>
          <w:szCs w:val="24"/>
        </w:rPr>
      </w:pP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DO MODO DE DISPUTA FECHADO E ABERTO:</w:t>
      </w:r>
    </w:p>
    <w:p>
      <w:pPr>
        <w:pBdr>
          <w:top w:val="nil"/>
          <w:left w:val="nil"/>
          <w:bottom w:val="nil"/>
          <w:right w:val="nil"/>
          <w:between w:val="nil"/>
        </w:pBdr>
        <w:tabs>
          <w:tab w:val="left" w:pos="284"/>
          <w:tab w:val="left" w:pos="5103"/>
        </w:tabs>
        <w:jc w:val="both"/>
        <w:rPr>
          <w:rFonts w:ascii="Cambria" w:eastAsia="Arial" w:hAnsi="Cambria" w:cs="Arial"/>
          <w:color w:val="000000"/>
          <w:sz w:val="24"/>
          <w:szCs w:val="24"/>
        </w:rPr>
      </w:pPr>
      <w:r>
        <w:rPr>
          <w:rFonts w:ascii="Cambria" w:eastAsia="Arial" w:hAnsi="Cambria" w:cs="Arial"/>
          <w:color w:val="000000"/>
          <w:sz w:val="24"/>
          <w:szCs w:val="24"/>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a)</w:t>
      </w:r>
      <w:r>
        <w:rPr>
          <w:rFonts w:ascii="Cambria" w:eastAsia="Arial" w:hAnsi="Cambria" w:cs="Arial"/>
          <w:sz w:val="24"/>
          <w:szCs w:val="24"/>
        </w:rPr>
        <w:t xml:space="preserve"> Não havendo pelo menos 3 (três) propostas nas condições definidas no item 9.3.4.1, poderão os licitantes que apresentaram as três melhores propostas, consideradas as empatadas, oferecer novos lances sucessivos.</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b)</w:t>
      </w:r>
      <w:r>
        <w:rPr>
          <w:rFonts w:ascii="Cambria" w:eastAsia="Arial" w:hAnsi="Cambria" w:cs="Arial"/>
          <w:sz w:val="24"/>
          <w:szCs w:val="24"/>
        </w:rPr>
        <w:t xml:space="preserve"> A etapa de lances da sessão pública terá duração de dez minutos e, após isso, será prorrogada automaticamente pelo sistema quando houver lance ofertado nos últimos dois minutos do período de duração da sessão pública.</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c)</w:t>
      </w:r>
      <w:r>
        <w:rPr>
          <w:rFonts w:ascii="Cambria" w:eastAsia="Arial" w:hAnsi="Cambria" w:cs="Arial"/>
          <w:sz w:val="24"/>
          <w:szCs w:val="24"/>
        </w:rPr>
        <w:t xml:space="preserve"> 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d)</w:t>
      </w:r>
      <w:r>
        <w:rPr>
          <w:rFonts w:ascii="Cambria" w:eastAsia="Arial" w:hAnsi="Cambria" w:cs="Arial"/>
          <w:sz w:val="24"/>
          <w:szCs w:val="24"/>
        </w:rPr>
        <w:t xml:space="preserve"> Não havendo novos lances na forma estabelecida nos itens anteriores, a sessão pública encerrar-se-á automaticamente, e o sistema ordenará e divulgará os lances conforme a ordem final de classificação.</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e)</w:t>
      </w:r>
      <w:r>
        <w:rPr>
          <w:rFonts w:ascii="Cambria" w:eastAsia="Arial" w:hAnsi="Cambria" w:cs="Arial"/>
          <w:sz w:val="24"/>
          <w:szCs w:val="24"/>
        </w:rPr>
        <w:t xml:space="preserve"> 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 w:val="left" w:pos="5103"/>
        </w:tabs>
        <w:jc w:val="both"/>
        <w:rPr>
          <w:rFonts w:ascii="Cambria" w:eastAsia="Arial" w:hAnsi="Cambria" w:cs="Arial"/>
          <w:sz w:val="24"/>
          <w:szCs w:val="24"/>
        </w:rPr>
      </w:pPr>
      <w:r>
        <w:rPr>
          <w:rFonts w:ascii="Cambria" w:eastAsia="Arial" w:hAnsi="Cambria" w:cs="Arial"/>
          <w:b/>
          <w:sz w:val="24"/>
          <w:szCs w:val="24"/>
        </w:rPr>
        <w:t>f)</w:t>
      </w:r>
      <w:r>
        <w:rPr>
          <w:rFonts w:ascii="Cambria" w:eastAsia="Arial" w:hAnsi="Cambria" w:cs="Arial"/>
          <w:sz w:val="24"/>
          <w:szCs w:val="24"/>
        </w:rPr>
        <w:t xml:space="preserve"> Após o reinício previsto no subitem supra, os licitantes serão convocados para apresentar lances intermediários. </w:t>
      </w:r>
    </w:p>
    <w:p>
      <w:pPr>
        <w:pBdr>
          <w:top w:val="nil"/>
          <w:left w:val="nil"/>
          <w:bottom w:val="nil"/>
          <w:right w:val="nil"/>
          <w:between w:val="nil"/>
        </w:pBdr>
        <w:tabs>
          <w:tab w:val="left" w:pos="851"/>
          <w:tab w:val="left" w:pos="5103"/>
        </w:tabs>
        <w:jc w:val="both"/>
        <w:rPr>
          <w:rFonts w:ascii="Cambria" w:eastAsia="Arial" w:hAnsi="Cambria" w:cs="Arial"/>
          <w:color w:val="000000"/>
          <w:sz w:val="24"/>
          <w:szCs w:val="24"/>
        </w:rPr>
      </w:pPr>
    </w:p>
    <w:p>
      <w:pPr>
        <w:numPr>
          <w:ilvl w:val="2"/>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ORIENTAÇÕES GERAIS SOBRE OS LANCES:</w:t>
      </w:r>
    </w:p>
    <w:p>
      <w:pPr>
        <w:numPr>
          <w:ilvl w:val="3"/>
          <w:numId w:val="28"/>
        </w:numPr>
        <w:pBdr>
          <w:top w:val="nil"/>
          <w:left w:val="nil"/>
          <w:bottom w:val="nil"/>
          <w:right w:val="nil"/>
          <w:between w:val="nil"/>
        </w:pBdr>
        <w:tabs>
          <w:tab w:val="left" w:pos="99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 </w:t>
      </w:r>
    </w:p>
    <w:p>
      <w:pPr>
        <w:numPr>
          <w:ilvl w:val="3"/>
          <w:numId w:val="28"/>
        </w:numPr>
        <w:pBdr>
          <w:top w:val="nil"/>
          <w:left w:val="nil"/>
          <w:bottom w:val="nil"/>
          <w:right w:val="nil"/>
          <w:between w:val="nil"/>
        </w:pBdr>
        <w:tabs>
          <w:tab w:val="left" w:pos="99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Para efeito de lances, o proponente deverá considerar o valor unitário do item.</w:t>
      </w:r>
    </w:p>
    <w:p>
      <w:pPr>
        <w:numPr>
          <w:ilvl w:val="3"/>
          <w:numId w:val="28"/>
        </w:numPr>
        <w:pBdr>
          <w:top w:val="nil"/>
          <w:left w:val="nil"/>
          <w:bottom w:val="nil"/>
          <w:right w:val="nil"/>
          <w:between w:val="nil"/>
        </w:pBdr>
        <w:tabs>
          <w:tab w:val="left" w:pos="99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proponentes poderão ofertar lances sucessivos, desde que inferiores ao seu último lance registrado no Sistema, ainda que este seja maior que o menor lance já ofertado por outro(s) proponente.</w:t>
      </w:r>
    </w:p>
    <w:p>
      <w:pPr>
        <w:numPr>
          <w:ilvl w:val="3"/>
          <w:numId w:val="28"/>
        </w:numPr>
        <w:pBdr>
          <w:top w:val="nil"/>
          <w:left w:val="nil"/>
          <w:bottom w:val="nil"/>
          <w:right w:val="nil"/>
          <w:between w:val="nil"/>
        </w:pBdr>
        <w:tabs>
          <w:tab w:val="left" w:pos="99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intervalo mínimo de diferença de valores entre os lances, que incidirá tanto em relação aos lances intermediários quanto em relação à proposta que cobrir a melhor oferta deverá ser de 0,1%, conforme previsto no Art. 57, da lei 14.133/21.</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Durante a sessão pública de disputa, os proponentes serão informados, em tempo real, do valor do menor lance registrado. O Sistema não identificará o autor dos lances ao(à) Pregoeiro(a) nem aos demais participantes.</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Aberta a etapa competitiva, os representantes dos PROPONENTES deverão estar conectados ao sistema para participar da sessão de lances. É de inteira responsabilidade do proponente se manter conectado ao sistema e acompanhar a fase competitiva.</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Os lances serão ofertados item/lote a item/lote, conforme critério de julgamento definido, podendo, contudo, o(a) Pregoeiro(a) realizar a abertura de mais de um item/lote de forma simultânea. </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serão aceitos dois ou mais lances iguais, prevalecendo aquele que for recebido e registrado primeiro.</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Quando o preço do item/lote ofertado resultar em um valor unitário que possua mais de 02 (duas) casas decimais, serão consideradas apenas as 02 (duas) primeiras casas decimais (centavos), devendo o(a) Pregoeiro(a) e o proponente vencedor proceder às adequações de preço necessárias, inclusive por ocasião da entrega Proposta de Preços final consolidada.</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de a plataforma eletrônica desconectar para o(a) Pregoeiro(a) no decorrer da etapa de envio de lances da sessão pública e permanecer acessível aos proponentes, os lances continuarão sendo recebidos, sem prejuízo dos atos realizados.</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dos subitens anteriores, a ocorrência será registrada em campo próprio do sistema.</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Caso o proponente não apresente lances, concorrerá com o valor de sua proposta e, na hipótese de desistência de apresentar outros lances, valerá o último lance por ele ofertado, para efeito de ordenação das propostas.</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 Sistema informará a proposta de menor preço ao encerrar a fase de disputa. </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lances apresentados e levados em consideração para efeito de julgamento serão de exclusiva e total responsabilidade de cada proponente, não lhe cabendo o direito de pleitear qualquer alteração posterior.</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Durante a etapa de disputa de lances, o(a) Pregoeiro(a) poderá EXCLUIR qualquer lance cujo valor seja considerado supostamente irrisório ou inexequível, ou até que entenda ter sido </w:t>
      </w:r>
      <w:r>
        <w:rPr>
          <w:rFonts w:ascii="Cambria" w:eastAsia="Arial" w:hAnsi="Cambria" w:cs="Arial"/>
          <w:color w:val="000000"/>
          <w:sz w:val="24"/>
          <w:szCs w:val="24"/>
        </w:rPr>
        <w:lastRenderedPageBreak/>
        <w:t>lançado erroneamente, cabendo ao sistema o encaminhamento de mensagem automática ao proponente, o qual terá a faculdade de repetir tal lance.</w:t>
      </w:r>
    </w:p>
    <w:p>
      <w:pPr>
        <w:pBdr>
          <w:top w:val="nil"/>
          <w:left w:val="nil"/>
          <w:bottom w:val="nil"/>
          <w:right w:val="nil"/>
          <w:between w:val="nil"/>
        </w:pBdr>
        <w:tabs>
          <w:tab w:val="left" w:pos="426"/>
          <w:tab w:val="left" w:pos="5103"/>
        </w:tabs>
        <w:jc w:val="both"/>
        <w:rPr>
          <w:rFonts w:ascii="Cambria" w:eastAsia="Arial" w:hAnsi="Cambria" w:cs="Arial"/>
          <w:b/>
          <w:color w:val="000000"/>
          <w:sz w:val="24"/>
          <w:szCs w:val="24"/>
        </w:rPr>
      </w:pPr>
    </w:p>
    <w:p>
      <w:pPr>
        <w:numPr>
          <w:ilvl w:val="1"/>
          <w:numId w:val="28"/>
        </w:numPr>
        <w:pBdr>
          <w:top w:val="nil"/>
          <w:left w:val="nil"/>
          <w:bottom w:val="nil"/>
          <w:right w:val="nil"/>
          <w:between w:val="nil"/>
        </w:pBdr>
        <w:shd w:val="clear" w:color="auto" w:fill="000099"/>
        <w:tabs>
          <w:tab w:val="left" w:pos="426"/>
          <w:tab w:val="left" w:pos="5103"/>
        </w:tabs>
        <w:ind w:left="0" w:firstLine="0"/>
        <w:jc w:val="both"/>
        <w:rPr>
          <w:rFonts w:ascii="Cambria" w:eastAsia="Arial" w:hAnsi="Cambria" w:cs="Arial"/>
          <w:b/>
          <w:color w:val="FFFFFF" w:themeColor="background1"/>
          <w:sz w:val="24"/>
          <w:szCs w:val="24"/>
          <w:u w:val="single"/>
        </w:rPr>
      </w:pPr>
      <w:r>
        <w:rPr>
          <w:rFonts w:ascii="Cambria" w:eastAsia="Arial" w:hAnsi="Cambria" w:cs="Arial"/>
          <w:b/>
          <w:color w:val="FFFFFF" w:themeColor="background1"/>
          <w:sz w:val="24"/>
          <w:szCs w:val="24"/>
          <w:u w:val="single"/>
        </w:rPr>
        <w:t>DIREITO DE PREFERÊNCIA E APLICAÇÃO DOS CRITÉRIOS DE DESEMPATE</w:t>
      </w:r>
    </w:p>
    <w:p>
      <w:pPr>
        <w:pBdr>
          <w:top w:val="nil"/>
          <w:left w:val="nil"/>
          <w:bottom w:val="nil"/>
          <w:right w:val="nil"/>
          <w:between w:val="nil"/>
        </w:pBdr>
        <w:tabs>
          <w:tab w:val="left" w:pos="5103"/>
        </w:tabs>
        <w:jc w:val="center"/>
        <w:rPr>
          <w:rFonts w:ascii="Cambria" w:eastAsia="Arial" w:hAnsi="Cambria" w:cs="Arial"/>
          <w:b/>
          <w:color w:val="000000"/>
          <w:sz w:val="24"/>
          <w:szCs w:val="24"/>
          <w:u w:val="single"/>
        </w:rPr>
      </w:pPr>
    </w:p>
    <w:p>
      <w:pPr>
        <w:pBdr>
          <w:top w:val="nil"/>
          <w:left w:val="nil"/>
          <w:bottom w:val="nil"/>
          <w:right w:val="nil"/>
          <w:between w:val="nil"/>
        </w:pBdr>
        <w:shd w:val="clear" w:color="auto" w:fill="000099"/>
        <w:tabs>
          <w:tab w:val="left" w:pos="5103"/>
        </w:tabs>
        <w:jc w:val="center"/>
        <w:rPr>
          <w:rFonts w:ascii="Cambria" w:eastAsia="Arial" w:hAnsi="Cambria" w:cs="Arial"/>
          <w:b/>
          <w:color w:val="FFFFFF" w:themeColor="background1"/>
          <w:sz w:val="24"/>
          <w:szCs w:val="24"/>
          <w:u w:val="single"/>
        </w:rPr>
      </w:pPr>
      <w:r>
        <w:rPr>
          <w:rFonts w:ascii="Cambria" w:eastAsia="Arial" w:hAnsi="Cambria" w:cs="Arial"/>
          <w:b/>
          <w:color w:val="FFFFFF" w:themeColor="background1"/>
          <w:sz w:val="24"/>
          <w:szCs w:val="24"/>
          <w:u w:val="single"/>
        </w:rPr>
        <w:t>DIREITOS DE PREFERÊNCIA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Após a etapa de envio de lances, haverá a aplicação dos critérios de desempate previstos nos art. 44 e art. 45 da Lei Complementar nº 123, de 14 de dezembro de 2006, seguido da aplicação dos critérios estabelecidos no caput do art. 60º da Lei nº 14.133/2021 de 1º de abril de 2021, se não houver proponente que atenda à primeira hipótese.</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e 45 da LC nº123, de 2006.</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cento) acima da proposta ou lance de menor preço serão consideradas empatadas com a primeira colocada.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caso de equivalência dos valores apresentados pela microempresa, empresa de pequeno porte e equiparados que se encontrem em situação de empate, será realizado sorteio para que se identifique a primeira que poderá apresentar melhor oferta.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de persistir o empate, a proposta vencedora será sorteada pela plataforma eletrônica dentre as propostas empatadas.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de nenhum dos proponentes exercerem o direito de preferência nos moldes descritos no subitem anterior, será mantida a ordem classificatória original.</w:t>
      </w:r>
    </w:p>
    <w:p>
      <w:pPr>
        <w:pBdr>
          <w:top w:val="nil"/>
          <w:left w:val="nil"/>
          <w:bottom w:val="nil"/>
          <w:right w:val="nil"/>
          <w:between w:val="nil"/>
        </w:pBdr>
        <w:tabs>
          <w:tab w:val="left" w:pos="-1701"/>
          <w:tab w:val="left" w:pos="5103"/>
        </w:tabs>
        <w:jc w:val="both"/>
        <w:rPr>
          <w:rFonts w:ascii="Cambria" w:eastAsia="Arial" w:hAnsi="Cambria" w:cs="Arial"/>
          <w:b/>
          <w:color w:val="000000"/>
          <w:sz w:val="24"/>
          <w:szCs w:val="24"/>
        </w:rPr>
      </w:pPr>
    </w:p>
    <w:p>
      <w:pPr>
        <w:numPr>
          <w:ilvl w:val="2"/>
          <w:numId w:val="28"/>
        </w:numPr>
        <w:pBdr>
          <w:top w:val="nil"/>
          <w:left w:val="nil"/>
          <w:bottom w:val="nil"/>
          <w:right w:val="nil"/>
          <w:between w:val="nil"/>
        </w:pBdr>
        <w:tabs>
          <w:tab w:val="left" w:pos="5103"/>
        </w:tabs>
        <w:ind w:left="0" w:firstLine="0"/>
        <w:jc w:val="both"/>
        <w:rPr>
          <w:rFonts w:ascii="Cambria" w:eastAsia="Arial" w:hAnsi="Cambria" w:cs="Arial"/>
          <w:b/>
          <w:color w:val="000000"/>
          <w:sz w:val="24"/>
          <w:szCs w:val="24"/>
        </w:rPr>
      </w:pPr>
      <w:r>
        <w:rPr>
          <w:rFonts w:ascii="Cambria" w:eastAsia="Arial" w:hAnsi="Cambria" w:cs="Arial"/>
          <w:b/>
          <w:color w:val="000000"/>
          <w:sz w:val="24"/>
          <w:szCs w:val="24"/>
        </w:rPr>
        <w:t>Verificação das condições quanto ao tratamento diferenciado:</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bookmarkStart w:id="15" w:name="_heading=h.1ksv4uv" w:colFirst="0" w:colLast="0"/>
      <w:bookmarkEnd w:id="15"/>
      <w:r>
        <w:rPr>
          <w:rFonts w:ascii="Cambria" w:eastAsia="Arial" w:hAnsi="Cambria" w:cs="Arial"/>
          <w:color w:val="000000"/>
          <w:sz w:val="24"/>
          <w:szCs w:val="24"/>
        </w:rPr>
        <w:t xml:space="preserve">Como condição prévia à aceitação da proposta, caso o proponente detentor da proposta classificada em primeiro lugar tenha usufruído do tratamento diferenciado previsto nos artigos 44 e 45 da Lei Complementar n° 123, de 2006, o(a) Pregoeiro(a) poderá consultar o Portal da </w:t>
      </w:r>
      <w:r>
        <w:rPr>
          <w:rFonts w:ascii="Cambria" w:eastAsia="Arial" w:hAnsi="Cambria" w:cs="Arial"/>
          <w:color w:val="000000"/>
          <w:sz w:val="24"/>
          <w:szCs w:val="24"/>
        </w:rPr>
        <w:lastRenderedPageBreak/>
        <w:t>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8">
        <w:r>
          <w:rPr>
            <w:rFonts w:ascii="Cambria" w:eastAsia="Arial" w:hAnsi="Cambria" w:cs="Arial"/>
            <w:color w:val="000000"/>
            <w:sz w:val="24"/>
            <w:szCs w:val="24"/>
          </w:rPr>
          <w:t>http://municipios.tce.ce.gov.br/transparencia/</w:t>
        </w:r>
      </w:hyperlink>
      <w:r>
        <w:rPr>
          <w:rFonts w:ascii="Cambria" w:eastAsia="Arial" w:hAnsi="Cambria" w:cs="Arial"/>
          <w:color w:val="000000"/>
          <w:sz w:val="24"/>
          <w:szCs w:val="24"/>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o(a) Pregoeiro(a)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Bdr>
          <w:top w:val="nil"/>
          <w:left w:val="nil"/>
          <w:bottom w:val="nil"/>
          <w:right w:val="nil"/>
          <w:between w:val="nil"/>
        </w:pBdr>
        <w:tabs>
          <w:tab w:val="left" w:pos="-1701"/>
          <w:tab w:val="left" w:pos="5103"/>
        </w:tabs>
        <w:jc w:val="both"/>
        <w:rPr>
          <w:rFonts w:ascii="Cambria" w:eastAsia="Arial" w:hAnsi="Cambria" w:cs="Arial"/>
          <w:b/>
          <w:color w:val="000000"/>
          <w:sz w:val="24"/>
          <w:szCs w:val="24"/>
        </w:rPr>
      </w:pPr>
    </w:p>
    <w:p>
      <w:pPr>
        <w:pBdr>
          <w:top w:val="nil"/>
          <w:left w:val="nil"/>
          <w:bottom w:val="nil"/>
          <w:right w:val="nil"/>
          <w:between w:val="nil"/>
        </w:pBdr>
        <w:shd w:val="clear" w:color="auto" w:fill="000099"/>
        <w:tabs>
          <w:tab w:val="left" w:pos="-1701"/>
          <w:tab w:val="left" w:pos="5103"/>
        </w:tabs>
        <w:jc w:val="center"/>
        <w:rPr>
          <w:rFonts w:ascii="Cambria" w:eastAsia="Arial" w:hAnsi="Cambria" w:cs="Arial"/>
          <w:b/>
          <w:color w:val="FFFFFF" w:themeColor="background1"/>
          <w:sz w:val="24"/>
          <w:szCs w:val="24"/>
          <w:u w:val="single"/>
        </w:rPr>
      </w:pPr>
      <w:r>
        <w:rPr>
          <w:rFonts w:ascii="Cambria" w:eastAsia="Arial" w:hAnsi="Cambria" w:cs="Arial"/>
          <w:b/>
          <w:color w:val="FFFFFF" w:themeColor="background1"/>
          <w:sz w:val="24"/>
          <w:szCs w:val="24"/>
          <w:u w:val="single"/>
        </w:rPr>
        <w:t>CRITÉRIOS DE DESEMPATE</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Havendo eventual empate entre propostas ou lances em que ocorra a aplicação dos CRITÉRIOS DE DESEMPATE E DIREITO DE PREFERÊNCIA fixados no art. 60, caput e seu § 1º, da Lei nº 14.133/2021, respectivamente, deverá ser obedecida as seguintes regras:</w:t>
      </w:r>
    </w:p>
    <w:p>
      <w:pPr>
        <w:numPr>
          <w:ilvl w:val="0"/>
          <w:numId w:val="5"/>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Em caso de empate entre duas ou mais propostas, serão utilizados os seguintes critérios de desempate, nesta ordem:</w:t>
      </w:r>
    </w:p>
    <w:p>
      <w:pPr>
        <w:numPr>
          <w:ilvl w:val="2"/>
          <w:numId w:val="6"/>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disputa final, hipótese em que os proponentes empatados poderão apresentar nova proposta em ato contínuo à classificação;</w:t>
      </w:r>
    </w:p>
    <w:p>
      <w:pPr>
        <w:numPr>
          <w:ilvl w:val="2"/>
          <w:numId w:val="6"/>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avaliação do desempenho contratual prévio dos proponentes, para a qual deverão preferencialmente ser utilizados registros cadastrais para efeito de atesto de cumprimento de obrigações previstos nesta Lei;</w:t>
      </w:r>
    </w:p>
    <w:p>
      <w:pPr>
        <w:numPr>
          <w:ilvl w:val="2"/>
          <w:numId w:val="6"/>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desenvolvimento pelo proponente de ações de equidade entre homens e mulheres no ambiente de trabalho, conforme regulamento;</w:t>
      </w:r>
    </w:p>
    <w:p>
      <w:pPr>
        <w:numPr>
          <w:ilvl w:val="2"/>
          <w:numId w:val="6"/>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desenvolvimento pelo proponente de programa de integridade, conforme orientações dos órgãos de controle.</w:t>
      </w:r>
    </w:p>
    <w:p>
      <w:pPr>
        <w:numPr>
          <w:ilvl w:val="0"/>
          <w:numId w:val="5"/>
        </w:numPr>
        <w:pBdr>
          <w:top w:val="nil"/>
          <w:left w:val="nil"/>
          <w:bottom w:val="nil"/>
          <w:right w:val="nil"/>
          <w:between w:val="nil"/>
        </w:pBdr>
        <w:tabs>
          <w:tab w:val="left" w:pos="284"/>
          <w:tab w:val="left" w:pos="5103"/>
        </w:tabs>
        <w:ind w:left="284" w:firstLine="0"/>
        <w:jc w:val="both"/>
        <w:rPr>
          <w:rFonts w:ascii="Cambria" w:eastAsia="Arial" w:hAnsi="Cambria" w:cs="Arial"/>
          <w:color w:val="000000"/>
          <w:sz w:val="24"/>
          <w:szCs w:val="24"/>
        </w:rPr>
      </w:pPr>
      <w:r>
        <w:rPr>
          <w:rFonts w:ascii="Cambria" w:eastAsia="Arial" w:hAnsi="Cambria" w:cs="Arial"/>
          <w:color w:val="000000"/>
          <w:sz w:val="24"/>
          <w:szCs w:val="24"/>
        </w:rPr>
        <w:t>Em igualdade de condições, se não houver desempate, será assegurada preferência, sucessivamente, aos bens e serviços produzidos ou prestados por:</w:t>
      </w:r>
    </w:p>
    <w:p>
      <w:pPr>
        <w:numPr>
          <w:ilvl w:val="2"/>
          <w:numId w:val="7"/>
        </w:numPr>
        <w:pBdr>
          <w:top w:val="nil"/>
          <w:left w:val="nil"/>
          <w:bottom w:val="nil"/>
          <w:right w:val="nil"/>
          <w:between w:val="nil"/>
        </w:pBdr>
        <w:tabs>
          <w:tab w:val="left" w:pos="567"/>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numPr>
          <w:ilvl w:val="2"/>
          <w:numId w:val="7"/>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Empresas brasileiras;</w:t>
      </w:r>
    </w:p>
    <w:p>
      <w:pPr>
        <w:numPr>
          <w:ilvl w:val="2"/>
          <w:numId w:val="7"/>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Empresas que invistam em pesquisa e no desenvolvimento de tecnologia no País;</w:t>
      </w:r>
    </w:p>
    <w:p>
      <w:pPr>
        <w:numPr>
          <w:ilvl w:val="2"/>
          <w:numId w:val="7"/>
        </w:numPr>
        <w:pBdr>
          <w:top w:val="nil"/>
          <w:left w:val="nil"/>
          <w:bottom w:val="nil"/>
          <w:right w:val="nil"/>
          <w:between w:val="nil"/>
        </w:pBdr>
        <w:tabs>
          <w:tab w:val="left" w:pos="851"/>
          <w:tab w:val="left" w:pos="5103"/>
        </w:tabs>
        <w:ind w:left="567" w:firstLine="0"/>
        <w:jc w:val="both"/>
        <w:rPr>
          <w:rFonts w:ascii="Cambria" w:eastAsia="Arial" w:hAnsi="Cambria" w:cs="Arial"/>
          <w:color w:val="000000"/>
          <w:sz w:val="24"/>
          <w:szCs w:val="24"/>
        </w:rPr>
      </w:pPr>
      <w:r>
        <w:rPr>
          <w:rFonts w:ascii="Cambria" w:eastAsia="Arial" w:hAnsi="Cambria" w:cs="Arial"/>
          <w:color w:val="000000"/>
          <w:sz w:val="24"/>
          <w:szCs w:val="24"/>
        </w:rPr>
        <w:t>Empresas que comprovem a prática de mitigação, nos termos da Lei nº 12.187, de 29 de dezembro de 2009.</w:t>
      </w:r>
    </w:p>
    <w:p>
      <w:pPr>
        <w:numPr>
          <w:ilvl w:val="0"/>
          <w:numId w:val="5"/>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As regras previstas nas alíneas acima não prejudicarão a aplicação do disposto no art. 44 da Lei Complementar nº 123, de 14 de dezembro de 2006.</w:t>
      </w:r>
    </w:p>
    <w:p>
      <w:pPr>
        <w:pBdr>
          <w:top w:val="nil"/>
          <w:left w:val="nil"/>
          <w:bottom w:val="nil"/>
          <w:right w:val="nil"/>
          <w:between w:val="nil"/>
        </w:pBdr>
        <w:tabs>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NEGOCIAÇÃO:</w:t>
      </w:r>
    </w:p>
    <w:p>
      <w:pPr>
        <w:numPr>
          <w:ilvl w:val="2"/>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numPr>
          <w:ilvl w:val="2"/>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negociação será realizada por meio do sistema, podendo ser acompanhada pelos demais proponentes.</w:t>
      </w:r>
    </w:p>
    <w:p>
      <w:pPr>
        <w:numPr>
          <w:ilvl w:val="2"/>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Após a negociação do preço, o (a) Pregoeiro(a) solicitará a proposta de preços final (consolidada) devidamente escoimada do(s) proponente(s) vencedor(es).</w:t>
      </w:r>
    </w:p>
    <w:p>
      <w:pPr>
        <w:pBdr>
          <w:top w:val="nil"/>
          <w:left w:val="nil"/>
          <w:bottom w:val="nil"/>
          <w:right w:val="nil"/>
          <w:between w:val="nil"/>
        </w:pBdr>
        <w:tabs>
          <w:tab w:val="left" w:pos="-1701"/>
          <w:tab w:val="left" w:pos="809"/>
          <w:tab w:val="left" w:pos="5103"/>
        </w:tabs>
        <w:jc w:val="both"/>
        <w:rPr>
          <w:rFonts w:ascii="Cambria" w:eastAsia="Arial" w:hAnsi="Cambria" w:cs="Arial"/>
          <w:b/>
          <w:color w:val="FF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APRESENTAÇÃO DA PROPOSTA DE PREÇOS FINAL (CONSOLIDADA):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Encerrada a fase de lances e 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Cambria" w:eastAsia="Arial" w:hAnsi="Cambria" w:cs="Arial"/>
          <w:b/>
          <w:color w:val="000000"/>
          <w:sz w:val="24"/>
          <w:szCs w:val="24"/>
        </w:rPr>
        <w:t>02 (duas) horas</w:t>
      </w:r>
      <w:r>
        <w:rPr>
          <w:rFonts w:ascii="Cambria" w:eastAsia="Arial" w:hAnsi="Cambria" w:cs="Arial"/>
          <w:color w:val="000000"/>
          <w:sz w:val="24"/>
          <w:szCs w:val="24"/>
        </w:rPr>
        <w:t>, contado da solicitação do(a) Pregoeiro(a) no sistema.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Esse prazo poderá ser estendido e/ou prorrogado a critério do(a) Pregoeiro(a) ou a pedido da autoridade competente, caso este constate a necessidade de maior tempo para elaboração da proposta de preço adequada.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Proposta de preços final (consolidada) deverá ser apresentada nos mesmos padrões e formalidades exigidas a proposta de preços inicial.</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b/>
          <w:color w:val="000000"/>
          <w:sz w:val="24"/>
          <w:szCs w:val="24"/>
        </w:rPr>
      </w:pPr>
      <w:r>
        <w:rPr>
          <w:rFonts w:ascii="Cambria" w:eastAsia="Arial" w:hAnsi="Cambria" w:cs="Arial"/>
          <w:color w:val="000000"/>
          <w:sz w:val="24"/>
          <w:szCs w:val="24"/>
        </w:rPr>
        <w:t xml:space="preserve">A proposta de preços final (consolidada) deverá possuir redução proporcional ao lance ofertado em todos os Itens e ou lotes/grupos, conforme critério de julgamento definido. </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proponente deverá evitar que os valores globais extrapolem o número de 02 (duas) casas decimais após a vírgula. Caso isto ocorra, o (a) Pregoeiro (a) estará autorizado a adjudicar o objeto realizando arredondamentos a menor no valor cotado.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qualquer momento, o(a) Pregoeiro(a) poderá solicitar parecer, consultas, análises e verificações por parte de técnicos pertencentes ao quadro de pessoal do Município de Miraíma/CE ou da autoridade competente para fins de </w:t>
      </w:r>
      <w:r>
        <w:rPr>
          <w:rFonts w:ascii="Cambria" w:eastAsia="Arial" w:hAnsi="Cambria" w:cs="Arial"/>
          <w:color w:val="000000"/>
          <w:sz w:val="24"/>
          <w:szCs w:val="24"/>
        </w:rPr>
        <w:lastRenderedPageBreak/>
        <w:t>avaliação da conformidade do objeto cotado às especificações técnicas contidas no Termo de Referência.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DESCLASSIFICADA, por despacho fundamentado, a proposta do licitante que, ressalvadas as situações e procedimentos previstos nos itens 9.6.9.3 e 9.6.9.4 deste Edital:</w:t>
      </w:r>
    </w:p>
    <w:p>
      <w:pPr>
        <w:numPr>
          <w:ilvl w:val="3"/>
          <w:numId w:val="9"/>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Deixar de comprovar requisito para fins de exercício de DIREITO DE PREFERÊNCIA (se for o caso);</w:t>
      </w:r>
    </w:p>
    <w:p>
      <w:pPr>
        <w:numPr>
          <w:ilvl w:val="3"/>
          <w:numId w:val="9"/>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Deixar de indicar, anexar ou comprovar as informações exigidas neste Edital (e seus ANEXOS) que prejudiquem a Avaliação da qualidade do objeto proposto;</w:t>
      </w:r>
    </w:p>
    <w:p>
      <w:pPr>
        <w:numPr>
          <w:ilvl w:val="3"/>
          <w:numId w:val="9"/>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Indique objeto que não atenda a todas as exigências de qualidade, amostras e às especificações técnicas contidas no Termo de Referência (anexo 01);</w:t>
      </w:r>
    </w:p>
    <w:p>
      <w:pPr>
        <w:numPr>
          <w:ilvl w:val="3"/>
          <w:numId w:val="9"/>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contenha a quantidade numérica e unidade métrica exigidas no Termo de Referência (anexo 01).</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CLASSIFICADA a proposta que atenda satisfatoriamente a todas as exigências fixadas no Edital e seus ANEXOS, bem como cujo objeto proposto esteja tecnicamente conforme com as especificações mínimas exigidas no Termo de Referência (anexo 01).</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"ENVIAR ANEXO" pelo(a) Pregoeiro(a), a qualquer momento durante a fase de julgamento, no sentido de ampliar a competitividade e atingir a finalidade do certame.</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julgamento das propostas, e considerando o interesse público na maior competitividade possível no certame, o(a) Pregoeiro(a) poderá:</w:t>
      </w:r>
    </w:p>
    <w:p>
      <w:pPr>
        <w:numPr>
          <w:ilvl w:val="3"/>
          <w:numId w:val="10"/>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Solicitar complementação de informações, documentos e ajustes na proposta escrita para fins de atendimentos das exigências legais e editalícias;</w:t>
      </w:r>
    </w:p>
    <w:p>
      <w:pPr>
        <w:numPr>
          <w:ilvl w:val="3"/>
          <w:numId w:val="10"/>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Solicitar ajustes aritméticos e/ou de percentuais e valores da planilha de custo e formação de preços para fins de adequação da proposta às exigências legais e editalícias, vedada majoração do valor global proposto;</w:t>
      </w:r>
    </w:p>
    <w:p>
      <w:pPr>
        <w:numPr>
          <w:ilvl w:val="3"/>
          <w:numId w:val="10"/>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Sanar erros ou falhas que não alterem a substância e nem a validade jurídica das propostas e documentos ANEXOS, mediante despacho fundamentado, registrado em ata e acessível a todos, atribuindo-lhes validade e eficácia para fins de classificação;</w:t>
      </w:r>
    </w:p>
    <w:p>
      <w:pPr>
        <w:numPr>
          <w:ilvl w:val="3"/>
          <w:numId w:val="10"/>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Realizar diligências em sítios oficiais e/ou via telefone para fins de complementação de informações acessórias ou que não prejudiquem a segurança da proposta do particular, sendo tudo consignado, via CHAT, na ata dos trabalhos.</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Bdr>
          <w:top w:val="nil"/>
          <w:left w:val="nil"/>
          <w:bottom w:val="nil"/>
          <w:right w:val="nil"/>
          <w:between w:val="nil"/>
        </w:pBdr>
        <w:tabs>
          <w:tab w:val="left" w:pos="-1701"/>
          <w:tab w:val="left" w:pos="809"/>
          <w:tab w:val="left" w:pos="5103"/>
        </w:tabs>
        <w:jc w:val="both"/>
        <w:rPr>
          <w:rFonts w:ascii="Cambria" w:eastAsia="Arial" w:hAnsi="Cambria" w:cs="Arial"/>
          <w:b/>
          <w:color w:val="000000"/>
          <w:sz w:val="24"/>
          <w:szCs w:val="24"/>
        </w:rPr>
      </w:pPr>
    </w:p>
    <w:p>
      <w:pPr>
        <w:numPr>
          <w:ilvl w:val="1"/>
          <w:numId w:val="28"/>
        </w:numPr>
        <w:pBdr>
          <w:top w:val="nil"/>
          <w:left w:val="nil"/>
          <w:bottom w:val="nil"/>
          <w:right w:val="nil"/>
          <w:between w:val="nil"/>
        </w:pBdr>
        <w:tabs>
          <w:tab w:val="left" w:pos="426"/>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 xml:space="preserve">DA ACEITABILIDADE DA PROPOSTA: </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b/>
          <w:color w:val="000000"/>
          <w:sz w:val="24"/>
          <w:szCs w:val="24"/>
        </w:rPr>
      </w:pPr>
      <w:r>
        <w:rPr>
          <w:rFonts w:ascii="Cambria" w:eastAsia="Arial" w:hAnsi="Cambria" w:cs="Arial"/>
          <w:b/>
          <w:color w:val="000000"/>
          <w:sz w:val="24"/>
          <w:szCs w:val="24"/>
        </w:rPr>
        <w:t>Da exequibilidade do lance ou proposta de preços:</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Não ocorrendo situação de recusa com base na hipótese acima, o(a) Pregoeiro(a) examinará a proposta classificada em primeiro lugar quanto ao preço, a sua exequibilidade, bem como quanto ao cumprimento das especificações do objeto.</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desclassificada a proposta ou o lance vencedor, apresentar preço final superior ao preço máximo fixado (Acórdão nº 1455/2018 -TCU - Plenário), desconto menor do que o mínimo exigido ou que apresentar preço manifestamente inexequível.</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Considerar-se-á inexequível a proposta que:</w:t>
      </w:r>
    </w:p>
    <w:p>
      <w:pPr>
        <w:pBdr>
          <w:top w:val="nil"/>
          <w:left w:val="nil"/>
          <w:bottom w:val="nil"/>
          <w:right w:val="nil"/>
          <w:between w:val="nil"/>
        </w:pBdr>
        <w:tabs>
          <w:tab w:val="left" w:pos="-1701"/>
          <w:tab w:val="left" w:pos="284"/>
          <w:tab w:val="left" w:pos="5103"/>
        </w:tabs>
        <w:jc w:val="both"/>
        <w:rPr>
          <w:rFonts w:ascii="Cambria" w:eastAsia="Arial" w:hAnsi="Cambria" w:cs="Arial"/>
          <w:color w:val="000000"/>
          <w:sz w:val="24"/>
          <w:szCs w:val="24"/>
        </w:rPr>
      </w:pPr>
      <w:r>
        <w:rPr>
          <w:rFonts w:ascii="Cambria" w:eastAsia="Arial" w:hAnsi="Cambria" w:cs="Arial"/>
          <w:color w:val="000000"/>
          <w:sz w:val="24"/>
          <w:szCs w:val="24"/>
        </w:rPr>
        <w:t>Não venha a ter demonstrada sua viabilidade por meio de documentação que comprove que os custos envolvidos na contratação são coerentes com os de mercado do objeto deste Pregão.</w:t>
      </w:r>
    </w:p>
    <w:p>
      <w:p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a.1) Para efeito de comprovação de sua exequibilidade, podendo-se adotar, dentre outros, os seguintes procedimentos:</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Questionamentos junto à proponente para a apresentação de justificativas e comprovações em relação aos custos com indícios de inexequibilidade;</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Verificação de acordos coletivos, convenções coletivas ou sentenças normativas em dissídios coletivos de trabalho;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Levantamento de informações junto aos órgãos públicos competentes;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Consultas a entidades ou conselhos de classe, sindicatos ou similares;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Pesquisas em órgãos públicos ou empresas privadas;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Verificação de outros contratos que a proponente mantenha com a Administração ou com a iniciativa privada;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Pesquisa de preço com fornecedores dos insumos utilizados, tais como: atacadistas, lojas de suprimentos, supermercados e fabricantes;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Verificação de notas fiscais dos produtos adquiridos pela proponente;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Levantamento de indicadores salariais ou trabalhistas publicados por órgãos de pesquisa; Estudos setoriais;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Consultas às Secretarias de Fazenda federal, distrital, estadual ou municipal;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Análise de soluções técnicas escolhidas e/ou condições excepcionalmente favoráveis que a proponente disponha para a prestação dos serviços; </w:t>
      </w:r>
    </w:p>
    <w:p>
      <w:pPr>
        <w:numPr>
          <w:ilvl w:val="0"/>
          <w:numId w:val="27"/>
        </w:num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r>
        <w:rPr>
          <w:rFonts w:ascii="Cambria" w:eastAsia="Arial" w:hAnsi="Cambria" w:cs="Arial"/>
          <w:color w:val="000000"/>
          <w:sz w:val="24"/>
          <w:szCs w:val="24"/>
        </w:rPr>
        <w:t>Demais verificações que porventura se fizerem necessárias.</w:t>
      </w:r>
    </w:p>
    <w:p>
      <w:p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p>
    <w:p>
      <w:pPr>
        <w:pBdr>
          <w:top w:val="nil"/>
          <w:left w:val="nil"/>
          <w:bottom w:val="nil"/>
          <w:right w:val="nil"/>
          <w:between w:val="nil"/>
        </w:pBdr>
        <w:tabs>
          <w:tab w:val="left" w:pos="-1701"/>
          <w:tab w:val="left" w:pos="284"/>
          <w:tab w:val="left" w:pos="5103"/>
        </w:tabs>
        <w:jc w:val="both"/>
        <w:rPr>
          <w:rFonts w:ascii="Cambria" w:eastAsia="Arial" w:hAnsi="Cambria" w:cs="Arial"/>
          <w:color w:val="000000"/>
          <w:sz w:val="24"/>
          <w:szCs w:val="24"/>
        </w:rPr>
      </w:pPr>
      <w:r>
        <w:rPr>
          <w:rFonts w:ascii="Cambria" w:eastAsia="Arial" w:hAnsi="Cambria" w:cs="Arial"/>
          <w:color w:val="000000"/>
          <w:sz w:val="24"/>
          <w:szCs w:val="24"/>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p>
    <w:p>
      <w:pPr>
        <w:numPr>
          <w:ilvl w:val="2"/>
          <w:numId w:val="28"/>
        </w:numPr>
        <w:pBdr>
          <w:top w:val="nil"/>
          <w:left w:val="nil"/>
          <w:bottom w:val="nil"/>
          <w:right w:val="nil"/>
          <w:between w:val="nil"/>
        </w:pBdr>
        <w:tabs>
          <w:tab w:val="left" w:pos="5103"/>
        </w:tabs>
        <w:ind w:left="0" w:firstLine="0"/>
        <w:jc w:val="both"/>
        <w:rPr>
          <w:rFonts w:ascii="Cambria" w:eastAsia="Arial" w:hAnsi="Cambria" w:cs="Arial"/>
          <w:b/>
          <w:color w:val="000000"/>
          <w:sz w:val="24"/>
          <w:szCs w:val="24"/>
        </w:rPr>
      </w:pPr>
      <w:r>
        <w:rPr>
          <w:rFonts w:ascii="Cambria" w:eastAsia="Arial" w:hAnsi="Cambria" w:cs="Arial"/>
          <w:b/>
          <w:color w:val="000000"/>
          <w:sz w:val="24"/>
          <w:szCs w:val="24"/>
        </w:rPr>
        <w:lastRenderedPageBreak/>
        <w:t>Da convocação para apresentação de documentos complementares a proposta de preços:</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O(a) Pregoeiro(a) poderá convocar o proponente para enviar documento digital, por meio de funcionalidade disponível no sistema, estabelecendo no “chat” prazo razoável para tanto, sob pena de não aceitação da proposta.</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prazo estabelecido pelo(a) Pregoeiro(a) poderá ser prorrogado por solicitação escrita e justificada do proponente, formulada antes de findo o prazo estabelecido, e formalmente aceita pelo (a) Pregoeiro(a).</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Também nas hipóteses em que o(a) Pregoeiro(a) não aceitar a proposta e passar à subsequente, poderá negociar com o proponente para que seja obtido preço melhor.</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não atendimento as exigências necessárias quanto a apresentação e formalidades mínimas exigidas para fins de apresentação de proposta de preços final (consolidada) e ou procedimentos afins, implicará na desclassificação da proponente.</w:t>
      </w:r>
    </w:p>
    <w:p>
      <w:pPr>
        <w:numPr>
          <w:ilvl w:val="3"/>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Escolhida a proposta que melhor atenda aos fins pretendidos, segundo as regras do Edital e seus ANEXOS, o(a) Pregoeiro(a) passará à verificação das condições de participação e a fase de habilitação.</w:t>
      </w:r>
    </w:p>
    <w:p>
      <w:pPr>
        <w:tabs>
          <w:tab w:val="left" w:pos="426"/>
          <w:tab w:val="left" w:pos="5103"/>
        </w:tabs>
        <w:jc w:val="both"/>
        <w:rPr>
          <w:rFonts w:ascii="Cambria" w:eastAsia="Arial" w:hAnsi="Cambria" w:cs="Arial"/>
          <w:b/>
          <w:sz w:val="24"/>
          <w:szCs w:val="24"/>
          <w:u w:val="single"/>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VERIFICAÇÃO DAS CONDIÇÕES DE PARTICIPAÇÃO: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 e ou lote/grupo:</w:t>
      </w:r>
    </w:p>
    <w:p>
      <w:pPr>
        <w:numPr>
          <w:ilvl w:val="1"/>
          <w:numId w:val="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Consulta Situação do Fornecedor e Relatório de Ocorrências (impedimentos, suspensões, multas, etc.) registrados no Sistema de Cadastramento Unificado de Fornecedores (SICAF);</w:t>
      </w:r>
    </w:p>
    <w:p>
      <w:pPr>
        <w:numPr>
          <w:ilvl w:val="1"/>
          <w:numId w:val="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Cadastro Consolidado de Pessoa Jurídica do TCU, no Cadastro Nacional de Empresas Inidôneas (CEIS) e no Cadastro Nacional de Empresas Punidas (CNEP);</w:t>
      </w:r>
    </w:p>
    <w:p>
      <w:pPr>
        <w:numPr>
          <w:ilvl w:val="1"/>
          <w:numId w:val="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Consulta ao Cadastro Nacional de Pessoa Jurídica (CNPJ), mantido pela Receita Federal do Brasil;</w:t>
      </w:r>
    </w:p>
    <w:p>
      <w:pPr>
        <w:numPr>
          <w:ilvl w:val="1"/>
          <w:numId w:val="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numPr>
          <w:ilvl w:val="1"/>
          <w:numId w:val="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Verificação de que o proponente esteja enquadrado nas situações constantes do item 3.1 deste Edital;</w:t>
      </w:r>
    </w:p>
    <w:p>
      <w:pPr>
        <w:numPr>
          <w:ilvl w:val="1"/>
          <w:numId w:val="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Verificação de que o proponente não esteja enquadrado nas situações constantes do item 3.2 deste Edital;</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cumpridas quaisquer das condições de participação, o(a) pregoeiro(a) desclassificará a proposta do proponente, sendo este impedido de prosseguir no certame, por decisão fundamentada, devidamente registrada no campo DESCLASSIFICAÇÃO da plataforma eletrônica “Compras Gov”.</w:t>
      </w:r>
    </w:p>
    <w:p>
      <w:pPr>
        <w:pBdr>
          <w:top w:val="nil"/>
          <w:left w:val="nil"/>
          <w:bottom w:val="nil"/>
          <w:right w:val="nil"/>
          <w:between w:val="nil"/>
        </w:pBdr>
        <w:tabs>
          <w:tab w:val="left" w:pos="426"/>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 xml:space="preserve">DA FASE DE HABILITAÇÃO: </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Estando o(s) proponente(s) classificados, o(a) Pregoeiro(a) o convocará em ordem de classificação, via Compras Gov”, para fins de encaminhamento/anexação da DOCUMENTAÇÃO DE HABILITAÇÃO, por meio da opção "ENVIAR ANEXO", no prazo de até </w:t>
      </w:r>
      <w:r>
        <w:rPr>
          <w:rFonts w:ascii="Cambria" w:eastAsia="Arial" w:hAnsi="Cambria" w:cs="Arial"/>
          <w:b/>
          <w:color w:val="000000"/>
          <w:sz w:val="24"/>
          <w:szCs w:val="24"/>
        </w:rPr>
        <w:t>02h (duas horas),</w:t>
      </w:r>
      <w:r>
        <w:rPr>
          <w:rFonts w:ascii="Cambria" w:eastAsia="Arial" w:hAnsi="Cambria" w:cs="Arial"/>
          <w:color w:val="000000"/>
          <w:sz w:val="24"/>
          <w:szCs w:val="24"/>
        </w:rPr>
        <w:t xml:space="preserve"> contados a partir da convocação do(a) Pregoeiro(a), podendo ser prorrogado a requerimento do interessado e/ou a critério do(a) Pregoeiro(a).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Após a entrega dos documentos para habilitação, não será permitida a substituição ou a apresentação de novos documentos, salvo em sede de diligência, para: </w:t>
      </w:r>
    </w:p>
    <w:p>
      <w:pPr>
        <w:tabs>
          <w:tab w:val="left" w:pos="5103"/>
        </w:tabs>
        <w:rPr>
          <w:rFonts w:ascii="Cambria" w:eastAsia="Arial" w:hAnsi="Cambria" w:cs="Arial"/>
          <w:color w:val="000000"/>
          <w:sz w:val="24"/>
          <w:szCs w:val="24"/>
        </w:rPr>
      </w:pPr>
      <w:r>
        <w:rPr>
          <w:rFonts w:ascii="Cambria" w:eastAsia="Arial" w:hAnsi="Cambria" w:cs="Arial"/>
          <w:color w:val="000000"/>
          <w:sz w:val="24"/>
          <w:szCs w:val="24"/>
        </w:rPr>
        <w:t xml:space="preserve">a) complementação de informações acerca dos documentos já apresentados pelos licitantes e desde que necessária para apurar fatos existentes à época da abertura do certame; </w:t>
      </w:r>
    </w:p>
    <w:p>
      <w:pPr>
        <w:pBdr>
          <w:top w:val="nil"/>
          <w:left w:val="nil"/>
          <w:bottom w:val="nil"/>
          <w:right w:val="nil"/>
          <w:between w:val="nil"/>
        </w:pBdr>
        <w:tabs>
          <w:tab w:val="left" w:pos="5103"/>
        </w:tabs>
        <w:jc w:val="both"/>
        <w:rPr>
          <w:rFonts w:ascii="Cambria" w:eastAsia="Arial" w:hAnsi="Cambria" w:cs="Arial"/>
          <w:color w:val="000000"/>
          <w:sz w:val="24"/>
          <w:szCs w:val="24"/>
        </w:rPr>
      </w:pPr>
      <w:r>
        <w:rPr>
          <w:rFonts w:ascii="Cambria" w:eastAsia="Arial" w:hAnsi="Cambria" w:cs="Arial"/>
          <w:color w:val="000000"/>
          <w:sz w:val="24"/>
          <w:szCs w:val="24"/>
        </w:rPr>
        <w:t>b) atualização de documentos cuja validade tenha expirado após a data de recebimento das propostas.</w:t>
      </w:r>
    </w:p>
    <w:p>
      <w:pPr>
        <w:pBdr>
          <w:top w:val="nil"/>
          <w:left w:val="nil"/>
          <w:bottom w:val="nil"/>
          <w:right w:val="nil"/>
          <w:between w:val="nil"/>
        </w:pBdr>
        <w:tabs>
          <w:tab w:val="left" w:pos="5103"/>
        </w:tabs>
        <w:jc w:val="both"/>
        <w:rPr>
          <w:rFonts w:ascii="Cambria" w:eastAsia="Arial" w:hAnsi="Cambria" w:cs="Arial"/>
          <w:color w:val="000000"/>
          <w:sz w:val="24"/>
          <w:szCs w:val="24"/>
        </w:rPr>
      </w:pPr>
    </w:p>
    <w:p>
      <w:pPr>
        <w:pBdr>
          <w:top w:val="dashed" w:sz="12" w:space="7" w:color="FF0000"/>
          <w:left w:val="dashed" w:sz="12" w:space="4" w:color="FF0000"/>
          <w:bottom w:val="dashed" w:sz="12" w:space="1" w:color="FF0000"/>
          <w:right w:val="dashed" w:sz="12" w:space="4" w:color="FF0000"/>
          <w:between w:val="nil"/>
        </w:pBdr>
        <w:tabs>
          <w:tab w:val="left" w:pos="426"/>
          <w:tab w:val="left" w:pos="5103"/>
        </w:tabs>
        <w:ind w:left="142"/>
        <w:jc w:val="both"/>
        <w:rPr>
          <w:rFonts w:ascii="Cambria" w:eastAsia="Arial" w:hAnsi="Cambria" w:cs="Arial"/>
          <w:color w:val="000000"/>
          <w:sz w:val="24"/>
          <w:szCs w:val="24"/>
        </w:rPr>
      </w:pPr>
      <w:r>
        <w:rPr>
          <w:rFonts w:ascii="Cambria" w:eastAsia="Arial" w:hAnsi="Cambria" w:cs="Arial"/>
          <w:b/>
          <w:color w:val="000000"/>
          <w:sz w:val="24"/>
          <w:szCs w:val="24"/>
        </w:rPr>
        <w:t xml:space="preserve">OBSERVAÇÃO: </w:t>
      </w:r>
      <w:r>
        <w:rPr>
          <w:rFonts w:ascii="Cambria" w:eastAsia="Arial" w:hAnsi="Cambria" w:cs="Arial"/>
          <w:color w:val="000000"/>
          <w:sz w:val="24"/>
          <w:szCs w:val="24"/>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Pregoeiro(a) diligenciar para permitir tal COMPLEMENTAÇÃO DE DOCUMENTOS).</w:t>
      </w:r>
    </w:p>
    <w:p>
      <w:pPr>
        <w:pBdr>
          <w:top w:val="nil"/>
          <w:left w:val="nil"/>
          <w:bottom w:val="nil"/>
          <w:right w:val="nil"/>
          <w:between w:val="nil"/>
        </w:pBdr>
        <w:tabs>
          <w:tab w:val="left" w:pos="5103"/>
        </w:tabs>
        <w:jc w:val="both"/>
        <w:rPr>
          <w:rFonts w:ascii="Cambria" w:eastAsia="Arial" w:hAnsi="Cambria" w:cs="Arial"/>
          <w:color w:val="000000"/>
          <w:sz w:val="24"/>
          <w:szCs w:val="24"/>
        </w:rPr>
      </w:pP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Os documentos necessários a Habilitação do(s) proponente(s) classificado(s) serão os definidos no Termo de Referência (anexo 01).  </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Além da regularidade da documentação já abrangida pelo SICAF, serão visualizadas e impressas as declarações eletrônicas para fins de cumprimento do exigido no subitem 8.2 deste Edital.</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Para fins de julgamento da habilitação, poderá haver a </w:t>
      </w:r>
      <w:r>
        <w:rPr>
          <w:rFonts w:ascii="Cambria" w:eastAsia="Arial" w:hAnsi="Cambria" w:cs="Arial"/>
          <w:b/>
          <w:bCs/>
          <w:color w:val="000000"/>
          <w:sz w:val="24"/>
          <w:szCs w:val="24"/>
        </w:rPr>
        <w:t>verificação</w:t>
      </w:r>
      <w:r>
        <w:rPr>
          <w:rFonts w:ascii="Cambria" w:eastAsia="Arial" w:hAnsi="Cambria" w:cs="Arial"/>
          <w:color w:val="000000"/>
          <w:sz w:val="24"/>
          <w:szCs w:val="24"/>
        </w:rPr>
        <w:t xml:space="preserve"> em sítios oficiais de órgãos e entidades emissores de certidões e/ou documentos diversos como forma de provar a autenticidade dos documentos/certidões e </w:t>
      </w:r>
      <w:r>
        <w:rPr>
          <w:rFonts w:ascii="Cambria" w:eastAsia="Arial" w:hAnsi="Cambria" w:cs="Arial"/>
          <w:color w:val="000000"/>
          <w:sz w:val="24"/>
          <w:szCs w:val="24"/>
        </w:rPr>
        <w:lastRenderedPageBreak/>
        <w:t>regularidade do licitante, ou até para fins de obtenção de certidões e informações, sendo comprovadas nos autos tais diligências.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Caso o licitante não esteja regularmente cadastrado no SICAF ou esteja com alguma certidão com prazo de validade vencido, poderá o(a) Pregoeiro(a) e/ou a equipe de apoio realizar diligências eletrônicas diretamente nos sítios oficiais.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O(a) Pregoeiro(a)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numPr>
          <w:ilvl w:val="2"/>
          <w:numId w:val="28"/>
        </w:numPr>
        <w:pBdr>
          <w:top w:val="nil"/>
          <w:left w:val="nil"/>
          <w:bottom w:val="nil"/>
          <w:right w:val="nil"/>
          <w:between w:val="nil"/>
        </w:pBdr>
        <w:tabs>
          <w:tab w:val="left" w:pos="99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Poderá ser INABILITADO o licitante que:</w:t>
      </w:r>
    </w:p>
    <w:p>
      <w:pPr>
        <w:numPr>
          <w:ilvl w:val="2"/>
          <w:numId w:val="11"/>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deixar de encaminhar ou de apresentar quaisquer dos documentos de habilitação exigidos no Termo de Referência deste Edital;</w:t>
      </w:r>
    </w:p>
    <w:p>
      <w:pPr>
        <w:numPr>
          <w:ilvl w:val="2"/>
          <w:numId w:val="11"/>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apresentar CERTIDÃO ou outro documento com prazo de validade vencido;</w:t>
      </w:r>
    </w:p>
    <w:p>
      <w:pPr>
        <w:numPr>
          <w:ilvl w:val="2"/>
          <w:numId w:val="11"/>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apresentar quaisquer documentos em desacordo com este Edital;</w:t>
      </w:r>
    </w:p>
    <w:p>
      <w:pPr>
        <w:numPr>
          <w:ilvl w:val="2"/>
          <w:numId w:val="11"/>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contenha em seu ato constitutivo atividade econômica compatível com o objeto da presente licitação;</w:t>
      </w:r>
    </w:p>
    <w:p>
      <w:pPr>
        <w:numPr>
          <w:ilvl w:val="2"/>
          <w:numId w:val="11"/>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comprove exigência(s) de habilitação prevista neste Edital e seus anexos.</w:t>
      </w:r>
    </w:p>
    <w:p>
      <w:pPr>
        <w:pBdr>
          <w:top w:val="nil"/>
          <w:left w:val="nil"/>
          <w:bottom w:val="nil"/>
          <w:right w:val="nil"/>
          <w:between w:val="nil"/>
        </w:pBdr>
        <w:tabs>
          <w:tab w:val="left" w:pos="5103"/>
        </w:tabs>
        <w:jc w:val="both"/>
        <w:rPr>
          <w:rFonts w:ascii="Cambria" w:eastAsia="Arial" w:hAnsi="Cambria" w:cs="Arial"/>
          <w:color w:val="000000"/>
          <w:sz w:val="24"/>
          <w:szCs w:val="24"/>
        </w:rPr>
      </w:pP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Sendo o licitante Microempresa - ME, Empresas de Pequeno Porte - EPP e equiparadas, não será motivo de INABILITAÇÃO a existência de restrições na sua HABILITAÇÃO FISCAL E TRABALHISTA, sendo observado o seguinte procedimento: </w:t>
      </w:r>
    </w:p>
    <w:p>
      <w:pPr>
        <w:numPr>
          <w:ilvl w:val="2"/>
          <w:numId w:val="12"/>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o licitante DECLARADO HABILITADO no certame para fins de posterior regularização, nos termos definidos na Lei Complementar nº 123/2006.</w:t>
      </w:r>
    </w:p>
    <w:p>
      <w:pPr>
        <w:numPr>
          <w:ilvl w:val="2"/>
          <w:numId w:val="12"/>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será assegurado o prazo de </w:t>
      </w:r>
      <w:r>
        <w:rPr>
          <w:rFonts w:ascii="Cambria" w:eastAsia="Arial" w:hAnsi="Cambria" w:cs="Arial"/>
          <w:b/>
          <w:color w:val="000000"/>
          <w:sz w:val="24"/>
          <w:szCs w:val="24"/>
        </w:rPr>
        <w:t>05 (cinco) dias úteis</w:t>
      </w:r>
      <w:r>
        <w:rPr>
          <w:rFonts w:ascii="Cambria" w:eastAsia="Arial" w:hAnsi="Cambria" w:cs="Arial"/>
          <w:color w:val="000000"/>
          <w:sz w:val="24"/>
          <w:szCs w:val="24"/>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numPr>
          <w:ilvl w:val="2"/>
          <w:numId w:val="12"/>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não regularização da situação fiscal no prazo fixado na alínea anterior acarretará na decadência do direito à contratação, sendo facultado à PREFEITURA MUNICIPAL DE MIRAÍMA/CE convocar os licitantes remanescentes na ordem de classificação para firmamento do contrato.</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julgamento da habilitação, poderá o(a) Pregoeiro(a) adotar os procedimentos, diligências e decisões que visem sanar erros ou falhas que não prejudiquem a validade e segurança jurídica da documentação apresentada.</w:t>
      </w:r>
    </w:p>
    <w:p>
      <w:pPr>
        <w:tabs>
          <w:tab w:val="left" w:pos="5103"/>
        </w:tabs>
        <w:jc w:val="both"/>
        <w:rPr>
          <w:rFonts w:ascii="Cambria" w:eastAsia="Arial" w:hAnsi="Cambria" w:cs="Arial"/>
          <w:b/>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FASE DE RECURSOS:</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Declarado o(s) vencedor(es), o(a) Pregoeiro(a) abrirá prazo mínimo de </w:t>
      </w:r>
      <w:r>
        <w:rPr>
          <w:rFonts w:ascii="Cambria" w:eastAsia="Arial" w:hAnsi="Cambria" w:cs="Arial"/>
          <w:b/>
          <w:color w:val="000000"/>
          <w:sz w:val="24"/>
          <w:szCs w:val="24"/>
        </w:rPr>
        <w:t>30 (trinta) minutos</w:t>
      </w:r>
      <w:r>
        <w:rPr>
          <w:rFonts w:ascii="Cambria" w:eastAsia="Arial" w:hAnsi="Cambria" w:cs="Arial"/>
          <w:color w:val="000000"/>
          <w:sz w:val="24"/>
          <w:szCs w:val="24"/>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 RECURSO ADMINISTRATIVO poderá atacar qualquer ato decisório ou procedimento adotado pelo(a) Pregoeiro(a) ou pela autoridade competente a qual resultou em deliberação ao </w:t>
      </w:r>
      <w:r>
        <w:rPr>
          <w:rFonts w:ascii="Cambria" w:eastAsia="Arial" w:hAnsi="Cambria" w:cs="Arial"/>
          <w:color w:val="000000"/>
          <w:sz w:val="24"/>
          <w:szCs w:val="24"/>
        </w:rPr>
        <w:lastRenderedPageBreak/>
        <w:t>julgamento, durante todo o certame, não sendo meio adequado para impugnar regras do edital e seus anexos.</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Será rejeitada a INTENÇÃO DE RECURSO de caráter protelatório que:</w:t>
      </w:r>
    </w:p>
    <w:p>
      <w:pPr>
        <w:numPr>
          <w:ilvl w:val="2"/>
          <w:numId w:val="13"/>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seja registrada por quem não tenha legítimo interesse;</w:t>
      </w:r>
    </w:p>
    <w:p>
      <w:pPr>
        <w:numPr>
          <w:ilvl w:val="2"/>
          <w:numId w:val="13"/>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seja intempestiva;</w:t>
      </w:r>
    </w:p>
    <w:p>
      <w:pPr>
        <w:numPr>
          <w:ilvl w:val="2"/>
          <w:numId w:val="13"/>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ataque ato decisório ou procedimental praticado pelo(a) Pregoeiro(a) no certame; e/ou</w:t>
      </w:r>
    </w:p>
    <w:p>
      <w:pPr>
        <w:numPr>
          <w:ilvl w:val="2"/>
          <w:numId w:val="13"/>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seja fundamentada em mera insatisfação do licitante, sem que haja a explícita alegação de qualquer fato prejudicial ao mesmo ou que tenha ocorrido alfo em desconformidade com o presente Edital e/ou com a legislação vigente.</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recorrente que tiver sua intenção de recurso aceita terá o prazo de até </w:t>
      </w:r>
      <w:r>
        <w:rPr>
          <w:rFonts w:ascii="Cambria" w:eastAsia="Arial" w:hAnsi="Cambria" w:cs="Arial"/>
          <w:b/>
          <w:color w:val="000000"/>
          <w:sz w:val="24"/>
          <w:szCs w:val="24"/>
        </w:rPr>
        <w:t xml:space="preserve">03 (três) dias </w:t>
      </w:r>
      <w:r>
        <w:rPr>
          <w:rFonts w:ascii="Cambria" w:eastAsia="Arial" w:hAnsi="Cambria" w:cs="Arial"/>
          <w:color w:val="000000"/>
          <w:sz w:val="24"/>
          <w:szCs w:val="24"/>
        </w:rPr>
        <w:t>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“Compras Gov”, intimadas a apresentar contrarrazões, também via sistema e e-mail, no caso da situação anterior, em igual prazo, que começará a correr do término do prazo da recorrente.</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Decorridos os prazos de apresentação de razões e contrarrazões, o(a) Pregoeiro(a) deverá analisar fundamentadamente os fatos e fundamentos arguidos pelo(s) recorrente(s), podendo, em sede de juízo de retratação:</w:t>
      </w:r>
    </w:p>
    <w:p>
      <w:pPr>
        <w:numPr>
          <w:ilvl w:val="2"/>
          <w:numId w:val="14"/>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reconsiderar, total ou parcialmente, a decisão recorrida, reformando-a; ou,</w:t>
      </w:r>
    </w:p>
    <w:p>
      <w:pPr>
        <w:numPr>
          <w:ilvl w:val="2"/>
          <w:numId w:val="14"/>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manter inalterada a decisão recorrida.</w:t>
      </w:r>
    </w:p>
    <w:p>
      <w:pPr>
        <w:numPr>
          <w:ilvl w:val="2"/>
          <w:numId w:val="14"/>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numPr>
          <w:ilvl w:val="2"/>
          <w:numId w:val="15"/>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decidir de pronto o mérito do recurso, segundo os documentos e informações contidas nos autos, como também os fundamentos da decisão do(a) Pregoeiro(a).</w:t>
      </w:r>
    </w:p>
    <w:p>
      <w:pPr>
        <w:numPr>
          <w:ilvl w:val="2"/>
          <w:numId w:val="15"/>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determinar prévia emissão de parecer da área técnica interessada e/ou jurídico para fins de decisão.</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O(A) Pregoeiro(a) ou da autoridade superior considerando eventuais indícios de ilegalidades ou irregularidades no julgamento do certame apontados na própria intenção de recurso, deverá analisar o mérito do recurso independente da apresentação das respectivas razões (ou de sua apresentação fora do prazo legal), como mero exercício do direito constitucional de petição (art. 5º, XXXIV, "a", CRFB/1988).</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Não cabe recurso adesivo por ocasião do exercício do direito de contrarrazoar.</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O acolhimento do recurso importará na invalidação apenas dos atos insuscetíveis de aproveitamento, sendo reaberta a Sessão Pública para fins de prosseguimento do certame e explanação dos atos decorrentes da decisão.</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realizado o encerramento da sessão e adjudicação do objeto pelo(a) Pregoeiro(a) em face dos demais itens/grupos do objeto da licitação, através de adjudicação ou homologação parcial.</w:t>
      </w:r>
    </w:p>
    <w:p>
      <w:pPr>
        <w:pBdr>
          <w:top w:val="nil"/>
          <w:left w:val="nil"/>
          <w:bottom w:val="nil"/>
          <w:right w:val="nil"/>
          <w:between w:val="nil"/>
        </w:pBdr>
        <w:tabs>
          <w:tab w:val="left" w:pos="426"/>
          <w:tab w:val="left" w:pos="5103"/>
        </w:tabs>
        <w:jc w:val="both"/>
        <w:rPr>
          <w:rFonts w:ascii="Cambria" w:eastAsia="Arial" w:hAnsi="Cambria" w:cs="Arial"/>
          <w:b/>
          <w:color w:val="000000"/>
          <w:sz w:val="24"/>
          <w:szCs w:val="24"/>
          <w:u w:val="single"/>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SUSPENSÃO E REABERTURA DA SESSÃO:</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bookmarkStart w:id="16" w:name="_heading=h.44sinio" w:colFirst="0" w:colLast="0"/>
      <w:bookmarkEnd w:id="16"/>
      <w:r>
        <w:rPr>
          <w:rFonts w:ascii="Cambria" w:eastAsia="Arial" w:hAnsi="Cambria" w:cs="Arial"/>
          <w:color w:val="000000"/>
          <w:sz w:val="24"/>
          <w:szCs w:val="24"/>
        </w:rPr>
        <w:t>À(o) Pregoeiro(a) é facultado, a qualquer momento, suspender a sessão mediante motivo devidamente justificado e marcar seu prosseguimento para outra ocasião, fazendo constar esta decisão na plataforma eletrônica. Neste caso, a sessão terá continuidade a qualquer dia e hora, ficando a cargo do(a) Pregoeiro(a) realizar o devido agendamento prévio na plataforma do “Compras Gov”.</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Cambria" w:eastAsia="Arial" w:hAnsi="Cambria" w:cs="Arial"/>
          <w:b/>
          <w:color w:val="000000"/>
          <w:sz w:val="24"/>
          <w:szCs w:val="24"/>
        </w:rPr>
        <w:t>24h (vinte e quatro horas)</w:t>
      </w:r>
      <w:r>
        <w:rPr>
          <w:rFonts w:ascii="Cambria" w:eastAsia="Arial" w:hAnsi="Cambria" w:cs="Arial"/>
          <w:color w:val="000000"/>
          <w:sz w:val="24"/>
          <w:szCs w:val="24"/>
        </w:rPr>
        <w:t xml:space="preserve"> após a comunicação do prosseguimento aos participantes, a qual serão informados na plataforma do “Compras Gov”.</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Sessão Pública poderá ser REABERTA, em prazo não inferior a </w:t>
      </w:r>
      <w:r>
        <w:rPr>
          <w:rFonts w:ascii="Cambria" w:eastAsia="Arial" w:hAnsi="Cambria" w:cs="Arial"/>
          <w:b/>
          <w:color w:val="000000"/>
          <w:sz w:val="24"/>
          <w:szCs w:val="24"/>
        </w:rPr>
        <w:t>24h (vinte e quatro horas)</w:t>
      </w:r>
      <w:r>
        <w:rPr>
          <w:rFonts w:ascii="Cambria" w:eastAsia="Arial" w:hAnsi="Cambria" w:cs="Arial"/>
          <w:color w:val="000000"/>
          <w:sz w:val="24"/>
          <w:szCs w:val="24"/>
        </w:rPr>
        <w:t>, em relação ao(s) ITEM(NS) e/ou GRUPO/LOTE(S) do objeto que apresente os seguintes eventos, observada sempre a ordem classificatória da fase de lances:</w:t>
      </w:r>
    </w:p>
    <w:p>
      <w:pPr>
        <w:numPr>
          <w:ilvl w:val="2"/>
          <w:numId w:val="16"/>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Julgamento favorável em sede de recurso administrativo que leve à anulação de atos da fase preparatória ou da própria Sessão Pública, situação em que serão repetidos os atos anulados e os que dele dependam;</w:t>
      </w:r>
    </w:p>
    <w:p>
      <w:pPr>
        <w:numPr>
          <w:ilvl w:val="2"/>
          <w:numId w:val="16"/>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Constatado erro/impropriedade na aceitação e julgamento da proposta, ou no julgamento da habilitação, o certame restará retroagido aos procedimentos imediatamente anteriores ao instante do erro/impropriedade declarada;</w:t>
      </w:r>
    </w:p>
    <w:p>
      <w:pPr>
        <w:numPr>
          <w:ilvl w:val="2"/>
          <w:numId w:val="16"/>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Licitante declarado vencedor que não assinar o instrumento contratual, não havendo CADASTRO DE RESERVA, sendo o certame retomado da fase de aceitação e julgamento das propostas;</w:t>
      </w:r>
    </w:p>
    <w:p>
      <w:pPr>
        <w:numPr>
          <w:ilvl w:val="2"/>
          <w:numId w:val="16"/>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Microempresa - ME, Empresas de Pequeno Porte - EPP e equiparadas 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numPr>
          <w:ilvl w:val="2"/>
          <w:numId w:val="16"/>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Licitante vencedor que não mantenha as condições de participação e de habilitação até o momento da assinatura do instrumento contratual, sendo reiniciados os procedimentos de aceitação e julgamento das propostas.</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Todos os licitantes remanescentes deverão ser convocados para acompanhar a Sessão reaberta, sendo devidamente registrados na plataforma eletrônica Compras Gov a data e hora de tal reabertura, observados os seguintes meios:</w:t>
      </w:r>
    </w:p>
    <w:p>
      <w:pPr>
        <w:numPr>
          <w:ilvl w:val="2"/>
          <w:numId w:val="17"/>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A convocação se dará por meio da plataforma eletrônica Compras Gov ("CHAT” ou evento de reabertura) ou e-mail, de acordo com a fase do procedimento licitatório;</w:t>
      </w:r>
    </w:p>
    <w:p>
      <w:pPr>
        <w:numPr>
          <w:ilvl w:val="2"/>
          <w:numId w:val="17"/>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convocação feita por e-mail dar-se-á de acordo com os dados cadastrais contidos no SICAF, sendo responsabilidade do licitante mantê-los atualizados; e,</w:t>
      </w:r>
    </w:p>
    <w:p>
      <w:pPr>
        <w:numPr>
          <w:ilvl w:val="2"/>
          <w:numId w:val="17"/>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convocação para reabertura também será divulgada com antecedência por meio do Portal de Licitações do TCE/CE, cabendo ao licitante acompanhar as informações e publicações contidas naquele canal de acesso.</w:t>
      </w:r>
    </w:p>
    <w:p>
      <w:pPr>
        <w:numPr>
          <w:ilvl w:val="2"/>
          <w:numId w:val="28"/>
        </w:numPr>
        <w:pBdr>
          <w:top w:val="nil"/>
          <w:left w:val="nil"/>
          <w:bottom w:val="nil"/>
          <w:right w:val="nil"/>
          <w:between w:val="nil"/>
        </w:pBdr>
        <w:tabs>
          <w:tab w:val="left" w:pos="851"/>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Sessão Pública reaberta será composta de todos os procedimentos e regras de processamento fixadas neste Edital, a depender apenas da fase em que os trabalhos serão retomados.</w:t>
      </w:r>
    </w:p>
    <w:p>
      <w:pPr>
        <w:pBdr>
          <w:top w:val="nil"/>
          <w:left w:val="nil"/>
          <w:bottom w:val="nil"/>
          <w:right w:val="nil"/>
          <w:between w:val="nil"/>
        </w:pBdr>
        <w:tabs>
          <w:tab w:val="left" w:pos="426"/>
          <w:tab w:val="left" w:pos="5103"/>
        </w:tabs>
        <w:jc w:val="both"/>
        <w:rPr>
          <w:rFonts w:ascii="Cambria" w:eastAsia="Arial" w:hAnsi="Cambria" w:cs="Arial"/>
          <w:b/>
          <w:color w:val="000000"/>
          <w:sz w:val="24"/>
          <w:szCs w:val="24"/>
          <w:u w:val="single"/>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 xml:space="preserve">ENCERRAMENTO DA SESSÃO: </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numPr>
          <w:ilvl w:val="2"/>
          <w:numId w:val="1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Para as publicações quanto resultados do certame, instrução do feito e deliberações quanto aos proclames de julgamento;</w:t>
      </w:r>
    </w:p>
    <w:p>
      <w:pPr>
        <w:numPr>
          <w:ilvl w:val="2"/>
          <w:numId w:val="1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À Assessoria Jurídica, para fins de análise e parecer jurídico;</w:t>
      </w:r>
    </w:p>
    <w:p>
      <w:pPr>
        <w:numPr>
          <w:ilvl w:val="2"/>
          <w:numId w:val="18"/>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 depois à(s) autoridades(s) competentes para homologação e subsequente formalização de Contrato(s).</w:t>
      </w:r>
    </w:p>
    <w:p>
      <w:pPr>
        <w:pStyle w:val="Ttulo1"/>
        <w:numPr>
          <w:ilvl w:val="0"/>
          <w:numId w:val="28"/>
        </w:numPr>
        <w:tabs>
          <w:tab w:val="left" w:pos="426"/>
          <w:tab w:val="left" w:pos="5103"/>
        </w:tabs>
        <w:ind w:left="0" w:firstLine="0"/>
        <w:rPr>
          <w:rFonts w:ascii="Cambria" w:hAnsi="Cambria"/>
          <w:b/>
          <w:bCs/>
          <w:color w:val="auto"/>
          <w:sz w:val="24"/>
          <w:szCs w:val="24"/>
        </w:rPr>
      </w:pPr>
      <w:bookmarkStart w:id="17" w:name="_heading=h.2jxsxqh" w:colFirst="0" w:colLast="0"/>
      <w:bookmarkEnd w:id="17"/>
      <w:r>
        <w:rPr>
          <w:rFonts w:ascii="Cambria" w:hAnsi="Cambria"/>
          <w:b/>
          <w:bCs/>
          <w:color w:val="auto"/>
          <w:sz w:val="24"/>
          <w:szCs w:val="24"/>
        </w:rPr>
        <w:t>DA ADJUDICAÇÃO E HOMOLOGAÇÃO.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autoridade competente poderá:</w:t>
      </w:r>
    </w:p>
    <w:p>
      <w:pPr>
        <w:numPr>
          <w:ilvl w:val="2"/>
          <w:numId w:val="19"/>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anular o certame, total ou parcialmente, em razão de ilegalidade, determinando o aproveitamento dos atos não viciados; ou,</w:t>
      </w:r>
    </w:p>
    <w:p>
      <w:pPr>
        <w:numPr>
          <w:ilvl w:val="2"/>
          <w:numId w:val="19"/>
        </w:numPr>
        <w:pBdr>
          <w:top w:val="nil"/>
          <w:left w:val="nil"/>
          <w:bottom w:val="nil"/>
          <w:right w:val="nil"/>
          <w:between w:val="nil"/>
        </w:pBdr>
        <w:tabs>
          <w:tab w:val="left" w:pos="284"/>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revogar o certame, total ou parcialmente, por razões de conveniência e oportunidade, à luz do interesse público primário tutelado.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adjudicação e ou a homologação do resultado desta licitação não implicará direito à contratação.</w:t>
      </w:r>
    </w:p>
    <w:p>
      <w:pPr>
        <w:pBdr>
          <w:top w:val="nil"/>
          <w:left w:val="nil"/>
          <w:bottom w:val="nil"/>
          <w:right w:val="nil"/>
          <w:between w:val="nil"/>
        </w:pBdr>
        <w:tabs>
          <w:tab w:val="left" w:pos="284"/>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a) Não havendo homologação do certame após decorridos </w:t>
      </w:r>
      <w:r>
        <w:rPr>
          <w:rFonts w:ascii="Cambria" w:eastAsia="Arial" w:hAnsi="Cambria" w:cs="Arial"/>
          <w:b/>
          <w:color w:val="000000"/>
          <w:sz w:val="24"/>
          <w:szCs w:val="24"/>
        </w:rPr>
        <w:t>60 (sessenta) dias</w:t>
      </w:r>
      <w:r>
        <w:rPr>
          <w:rFonts w:ascii="Cambria" w:eastAsia="Arial" w:hAnsi="Cambria" w:cs="Arial"/>
          <w:color w:val="000000"/>
          <w:sz w:val="24"/>
          <w:szCs w:val="24"/>
        </w:rPr>
        <w:t xml:space="preserve"> da data de abertura das propostas, fica(m) o(s) licitante(s) liberado(s) dos compromissos assumidos em sua(s) proposta(s).</w:t>
      </w:r>
    </w:p>
    <w:p>
      <w:pPr>
        <w:pStyle w:val="Ttulo1"/>
        <w:numPr>
          <w:ilvl w:val="0"/>
          <w:numId w:val="28"/>
        </w:numPr>
        <w:tabs>
          <w:tab w:val="left" w:pos="426"/>
          <w:tab w:val="left" w:pos="5103"/>
        </w:tabs>
        <w:ind w:left="0" w:firstLine="0"/>
        <w:rPr>
          <w:rFonts w:ascii="Cambria" w:hAnsi="Cambria"/>
          <w:b/>
          <w:bCs/>
          <w:color w:val="auto"/>
          <w:sz w:val="24"/>
          <w:szCs w:val="24"/>
        </w:rPr>
      </w:pPr>
      <w:bookmarkStart w:id="18" w:name="_heading=h.z337ya" w:colFirst="0" w:colLast="0"/>
      <w:bookmarkEnd w:id="18"/>
      <w:r>
        <w:rPr>
          <w:rFonts w:ascii="Cambria" w:hAnsi="Cambria"/>
          <w:b/>
          <w:bCs/>
          <w:color w:val="auto"/>
          <w:sz w:val="24"/>
          <w:szCs w:val="24"/>
        </w:rPr>
        <w:t>DA(S) DOTAÇÃO(ÕES) ORÇAMENTÁRIA(S)</w:t>
      </w:r>
    </w:p>
    <w:p>
      <w:pPr>
        <w:tabs>
          <w:tab w:val="left" w:pos="5103"/>
        </w:tabs>
        <w:ind w:left="-1134"/>
        <w:rPr>
          <w:rFonts w:ascii="Cambria" w:eastAsia="Arial" w:hAnsi="Cambria" w:cs="Arial"/>
          <w:sz w:val="24"/>
          <w:szCs w:val="24"/>
          <w:highlight w:val="yellow"/>
        </w:rPr>
      </w:pPr>
      <w:r>
        <w:rPr>
          <w:rFonts w:ascii="Cambria" w:eastAsia="Arial" w:hAnsi="Cambria" w:cs="Arial"/>
          <w:noProof/>
          <w:sz w:val="24"/>
          <w:szCs w:val="24"/>
          <w:highlight w:val="yellow"/>
        </w:rPr>
        <w:drawing>
          <wp:inline distT="0" distB="0" distL="0" distR="0">
            <wp:extent cx="6448425" cy="85725"/>
            <wp:effectExtent l="0" t="0" r="0" b="0"/>
            <wp:docPr id="17645733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As despesas decorrentes da contratação do objeto desta licitação correrão à conta de recursos específicos consignados no vigente Orçamento Municipal, inerentes á Secretaria de Infraestrutura e Serviços Públicos.</w:t>
      </w:r>
    </w:p>
    <w:p>
      <w:pPr>
        <w:pBdr>
          <w:top w:val="nil"/>
          <w:left w:val="nil"/>
          <w:bottom w:val="nil"/>
          <w:right w:val="nil"/>
          <w:between w:val="nil"/>
        </w:pBdr>
        <w:tabs>
          <w:tab w:val="left" w:pos="567"/>
          <w:tab w:val="left" w:pos="5103"/>
        </w:tabs>
        <w:jc w:val="both"/>
        <w:rPr>
          <w:rFonts w:ascii="Cambria" w:hAnsi="Cambria"/>
          <w:sz w:val="24"/>
          <w:szCs w:val="24"/>
          <w:lang w:eastAsia="en-US"/>
        </w:rPr>
      </w:pPr>
      <w:r>
        <w:rPr>
          <w:rFonts w:ascii="Cambria" w:eastAsia="Arial" w:hAnsi="Cambria" w:cs="Arial"/>
          <w:b/>
          <w:color w:val="000000"/>
          <w:sz w:val="24"/>
          <w:szCs w:val="24"/>
        </w:rPr>
        <w:t>Dotação Orçamentária:</w:t>
      </w:r>
      <w:r>
        <w:rPr>
          <w:rFonts w:ascii="Cambria" w:eastAsia="Arial" w:hAnsi="Cambria" w:cs="Arial"/>
          <w:color w:val="000000"/>
          <w:sz w:val="24"/>
          <w:szCs w:val="24"/>
        </w:rPr>
        <w:t xml:space="preserve"> </w:t>
      </w:r>
    </w:p>
    <w:p>
      <w:pPr>
        <w:pBdr>
          <w:top w:val="nil"/>
          <w:left w:val="nil"/>
          <w:bottom w:val="nil"/>
          <w:right w:val="nil"/>
          <w:between w:val="nil"/>
        </w:pBdr>
        <w:tabs>
          <w:tab w:val="left" w:pos="567"/>
          <w:tab w:val="left" w:pos="5103"/>
        </w:tabs>
        <w:jc w:val="both"/>
        <w:rPr>
          <w:rFonts w:ascii="Cambria" w:eastAsia="Arial" w:hAnsi="Cambria" w:cs="Arial"/>
          <w:b/>
          <w:color w:val="000000"/>
          <w:sz w:val="24"/>
          <w:szCs w:val="24"/>
        </w:rPr>
      </w:pPr>
      <w:r>
        <w:rPr>
          <w:rFonts w:ascii="Cambria" w:eastAsia="Arial" w:hAnsi="Cambria" w:cs="Arial"/>
          <w:b/>
          <w:color w:val="000000"/>
          <w:sz w:val="24"/>
          <w:szCs w:val="24"/>
        </w:rPr>
        <w:t xml:space="preserve">Elemento de Despesa: </w:t>
      </w:r>
    </w:p>
    <w:p>
      <w:pPr>
        <w:pBdr>
          <w:top w:val="nil"/>
          <w:left w:val="nil"/>
          <w:bottom w:val="nil"/>
          <w:right w:val="nil"/>
          <w:between w:val="nil"/>
        </w:pBdr>
        <w:tabs>
          <w:tab w:val="left" w:pos="567"/>
          <w:tab w:val="left" w:pos="5103"/>
        </w:tabs>
        <w:jc w:val="both"/>
        <w:rPr>
          <w:rFonts w:ascii="Cambria" w:eastAsia="Arial" w:hAnsi="Cambria" w:cs="Arial"/>
          <w:color w:val="000000"/>
          <w:sz w:val="24"/>
          <w:szCs w:val="24"/>
          <w:highlight w:val="yellow"/>
        </w:rPr>
      </w:pPr>
      <w:r>
        <w:rPr>
          <w:rFonts w:ascii="Cambria" w:eastAsia="Arial" w:hAnsi="Cambria" w:cs="Arial"/>
          <w:b/>
          <w:color w:val="000000"/>
          <w:sz w:val="24"/>
          <w:szCs w:val="24"/>
        </w:rPr>
        <w:t>Fonte de Recursos:</w:t>
      </w:r>
      <w:r>
        <w:rPr>
          <w:rFonts w:ascii="Cambria" w:eastAsia="Arial" w:hAnsi="Cambria" w:cs="Arial"/>
          <w:color w:val="000000"/>
          <w:sz w:val="24"/>
          <w:szCs w:val="24"/>
        </w:rPr>
        <w:t xml:space="preserve"> </w:t>
      </w:r>
    </w:p>
    <w:p>
      <w:pPr>
        <w:pStyle w:val="Ttulo1"/>
        <w:numPr>
          <w:ilvl w:val="0"/>
          <w:numId w:val="28"/>
        </w:numPr>
        <w:tabs>
          <w:tab w:val="left" w:pos="426"/>
          <w:tab w:val="left" w:pos="5103"/>
        </w:tabs>
        <w:ind w:left="0" w:firstLine="0"/>
        <w:rPr>
          <w:rFonts w:ascii="Cambria" w:hAnsi="Cambria"/>
          <w:b/>
          <w:bCs/>
          <w:color w:val="auto"/>
          <w:sz w:val="24"/>
          <w:szCs w:val="24"/>
        </w:rPr>
      </w:pPr>
      <w:bookmarkStart w:id="19" w:name="_heading=h.3j2qqm3" w:colFirst="0" w:colLast="0"/>
      <w:bookmarkEnd w:id="19"/>
      <w:r>
        <w:rPr>
          <w:rFonts w:ascii="Cambria" w:hAnsi="Cambria"/>
          <w:b/>
          <w:bCs/>
          <w:color w:val="auto"/>
          <w:sz w:val="24"/>
          <w:szCs w:val="24"/>
        </w:rPr>
        <w:t xml:space="preserve">DA FORMALIZAÇÃO DAS CONTRATAÇÕES </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DO INSTRUMENTO CONTRATUAL:</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Administração convocará o adjudicatário para assinatura, mediante correspondência meio eletrônico, para que seja assinado no prazo de 05(cinco) dias, a contar da data de seu recebimento da convocação, sob pena de decair do direito à contratação, sem prejuízo das sanções previstas neste Edital.</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prazo previsto no subitem anterior poderá ser prorrogado, por igual período, por solicitação justificada do adjudicatário e aceita pela Administração.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formalização do contrato ou do instrumento substituto deverá haver a indicação da disponibilidade dos créditos orçamentários respectivos.</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Incumbirá à Administração providenciar a publicação do extrato do contrato nos termos do parágrafo único art. 61 da Lei nº 14.133/2021 de 1º de abril de 2021.</w:t>
      </w:r>
    </w:p>
    <w:p>
      <w:pPr>
        <w:pBdr>
          <w:top w:val="nil"/>
          <w:left w:val="nil"/>
          <w:bottom w:val="nil"/>
          <w:right w:val="nil"/>
          <w:between w:val="nil"/>
        </w:pBdr>
        <w:tabs>
          <w:tab w:val="left" w:pos="-1701"/>
          <w:tab w:val="left" w:pos="809"/>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b/>
          <w:color w:val="000000"/>
          <w:sz w:val="24"/>
          <w:szCs w:val="24"/>
          <w:u w:val="single"/>
        </w:rPr>
      </w:pPr>
      <w:r>
        <w:rPr>
          <w:rFonts w:ascii="Cambria" w:eastAsia="Arial" w:hAnsi="Cambria" w:cs="Arial"/>
          <w:b/>
          <w:color w:val="000000"/>
          <w:sz w:val="24"/>
          <w:szCs w:val="24"/>
          <w:u w:val="single"/>
        </w:rPr>
        <w:t>DA MANUTENÇÃO DAS CONDIÇÕES DE HABILITAÇÃO E DAS IMPLICAÇÕES POR NÃO ATENDIMENTO A CONVOCAÇÃO: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Style w:val="Ttulo1"/>
        <w:numPr>
          <w:ilvl w:val="0"/>
          <w:numId w:val="28"/>
        </w:numPr>
        <w:tabs>
          <w:tab w:val="left" w:pos="426"/>
          <w:tab w:val="left" w:pos="5103"/>
        </w:tabs>
        <w:ind w:left="0" w:firstLine="0"/>
        <w:rPr>
          <w:rFonts w:ascii="Cambria" w:hAnsi="Cambria"/>
          <w:b/>
          <w:bCs/>
          <w:color w:val="auto"/>
          <w:sz w:val="24"/>
          <w:szCs w:val="24"/>
        </w:rPr>
      </w:pPr>
      <w:bookmarkStart w:id="20" w:name="_heading=h.1y810tw" w:colFirst="0" w:colLast="0"/>
      <w:bookmarkEnd w:id="20"/>
      <w:r>
        <w:rPr>
          <w:rFonts w:ascii="Cambria" w:hAnsi="Cambria"/>
          <w:b/>
          <w:bCs/>
          <w:color w:val="auto"/>
          <w:sz w:val="24"/>
          <w:szCs w:val="24"/>
        </w:rPr>
        <w:t>DO PAGAMENTO E DEMAIS CONDIÇÕES DO OBJETO</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As condições de pagamento, obrigações, detalhamentos e demais especificidades quanto ao objeto e não abordados na parte geral desse edital, serão aquelas constantes do Termo de Referências e seus anexos. </w:t>
      </w:r>
    </w:p>
    <w:p>
      <w:pPr>
        <w:pStyle w:val="Ttulo1"/>
        <w:numPr>
          <w:ilvl w:val="0"/>
          <w:numId w:val="28"/>
        </w:numPr>
        <w:tabs>
          <w:tab w:val="left" w:pos="426"/>
          <w:tab w:val="left" w:pos="5103"/>
        </w:tabs>
        <w:ind w:left="284"/>
        <w:rPr>
          <w:rFonts w:ascii="Cambria" w:hAnsi="Cambria"/>
          <w:b/>
          <w:bCs/>
          <w:color w:val="auto"/>
          <w:sz w:val="24"/>
          <w:szCs w:val="24"/>
        </w:rPr>
      </w:pPr>
      <w:bookmarkStart w:id="21" w:name="_heading=h.4i7ojhp" w:colFirst="0" w:colLast="0"/>
      <w:bookmarkEnd w:id="21"/>
      <w:r>
        <w:rPr>
          <w:rFonts w:ascii="Cambria" w:hAnsi="Cambria"/>
          <w:b/>
          <w:bCs/>
          <w:color w:val="auto"/>
          <w:sz w:val="24"/>
          <w:szCs w:val="24"/>
        </w:rPr>
        <w:t xml:space="preserve">DAS INFRAÇÕES E SANÇÕES </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Ficarão sujeitos às penalidades previstas na Lei n.º 12.846/2013 aqueles que cometerem atos lesivos à administração pública, assim definidos, no tocante a licitações e contratos:</w:t>
      </w:r>
    </w:p>
    <w:p>
      <w:pPr>
        <w:pBdr>
          <w:top w:val="nil"/>
          <w:left w:val="nil"/>
          <w:bottom w:val="nil"/>
          <w:right w:val="nil"/>
          <w:between w:val="nil"/>
        </w:pBdr>
        <w:tabs>
          <w:tab w:val="left" w:pos="567"/>
          <w:tab w:val="left" w:pos="5103"/>
        </w:tabs>
        <w:jc w:val="both"/>
        <w:rPr>
          <w:rFonts w:ascii="Cambria" w:eastAsia="Arial" w:hAnsi="Cambria" w:cs="Arial"/>
          <w:color w:val="000000"/>
          <w:sz w:val="24"/>
          <w:szCs w:val="24"/>
        </w:rPr>
      </w:pP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 xml:space="preserve">frustrar ou fraudar, mediante ajuste, combinação ou qualquer outro expediente, o caráter competitivo de procedimento licitatório público; </w:t>
      </w: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impedir, perturbar ou fraudar a realização de qualquer ato de procedimento licitatório público; </w:t>
      </w: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afastar ou procurar afastar licitante, por meio de fraude ou oferecimento de vantagem de qualquer tipo; </w:t>
      </w: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fraudar licitação pública ou contrato dela decorrente; </w:t>
      </w: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criar, de modo fraudulento ou irregular, pessoa jurídica para participar de licitação pública ou celebrar contrato administrativo; </w:t>
      </w: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numPr>
          <w:ilvl w:val="2"/>
          <w:numId w:val="20"/>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manipular ou fraudar o equilíbrio econômico-financeiro dos contratos celebrados com a administração pública.</w:t>
      </w:r>
    </w:p>
    <w:p>
      <w:pPr>
        <w:pBdr>
          <w:top w:val="nil"/>
          <w:left w:val="nil"/>
          <w:bottom w:val="nil"/>
          <w:right w:val="nil"/>
          <w:between w:val="nil"/>
        </w:pBdr>
        <w:tabs>
          <w:tab w:val="left" w:pos="567"/>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Comete infração administrativa, nos termos da </w:t>
      </w:r>
      <w:hyperlink r:id="rId9">
        <w:r>
          <w:rPr>
            <w:rFonts w:ascii="Cambria" w:eastAsia="Arial" w:hAnsi="Cambria" w:cs="Arial"/>
            <w:color w:val="000000"/>
            <w:sz w:val="24"/>
            <w:szCs w:val="24"/>
          </w:rPr>
          <w:t>Lei nº 14.133, de 2021</w:t>
        </w:r>
      </w:hyperlink>
      <w:r>
        <w:rPr>
          <w:rFonts w:ascii="Cambria" w:eastAsia="Arial" w:hAnsi="Cambria" w:cs="Arial"/>
          <w:color w:val="000000"/>
          <w:sz w:val="24"/>
          <w:szCs w:val="24"/>
        </w:rPr>
        <w:t>, o licitante/adjudicatário que, com dolo ou culpa:</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2" w:name="_heading=h.2xcytpi" w:colFirst="0" w:colLast="0"/>
      <w:bookmarkEnd w:id="22"/>
      <w:r>
        <w:rPr>
          <w:rFonts w:ascii="Cambria" w:eastAsia="Arial" w:hAnsi="Cambria" w:cs="Arial"/>
          <w:color w:val="000000"/>
          <w:sz w:val="24"/>
          <w:szCs w:val="24"/>
        </w:rPr>
        <w:t>deixar de entregar a documentação exigida para o certame ou não entregar qualquer documento que tenha sido solicitado pelo/a pregoeiro/a durante o certame;</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3" w:name="_heading=h.1ci93xb" w:colFirst="0" w:colLast="0"/>
      <w:bookmarkEnd w:id="23"/>
      <w:r>
        <w:rPr>
          <w:rFonts w:ascii="Cambria" w:eastAsia="Arial" w:hAnsi="Cambria" w:cs="Arial"/>
          <w:color w:val="000000"/>
          <w:sz w:val="24"/>
          <w:szCs w:val="24"/>
        </w:rPr>
        <w:t>Salvo em decorrência de fato superveniente devidamente justificado, não mantiver a proposta em especial quando:</w:t>
      </w:r>
    </w:p>
    <w:p>
      <w:pPr>
        <w:pBdr>
          <w:top w:val="nil"/>
          <w:left w:val="nil"/>
          <w:bottom w:val="nil"/>
          <w:right w:val="nil"/>
          <w:between w:val="nil"/>
        </w:pBdr>
        <w:tabs>
          <w:tab w:val="left" w:pos="284"/>
          <w:tab w:val="left" w:pos="851"/>
          <w:tab w:val="left" w:pos="1276"/>
          <w:tab w:val="left" w:pos="2525"/>
          <w:tab w:val="center" w:pos="4873"/>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b.1) não enviar a proposta adequada ao último lance ofertado ou após a negociação; </w:t>
      </w:r>
    </w:p>
    <w:p>
      <w:pPr>
        <w:pBdr>
          <w:top w:val="nil"/>
          <w:left w:val="nil"/>
          <w:bottom w:val="nil"/>
          <w:right w:val="nil"/>
          <w:between w:val="nil"/>
        </w:pBdr>
        <w:tabs>
          <w:tab w:val="left" w:pos="284"/>
          <w:tab w:val="left" w:pos="851"/>
          <w:tab w:val="left" w:pos="1276"/>
          <w:tab w:val="left" w:pos="2525"/>
          <w:tab w:val="center" w:pos="4873"/>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b.2) recusar-se a enviar o detalhamento da proposta quando exigível; </w:t>
      </w:r>
    </w:p>
    <w:p>
      <w:pPr>
        <w:pBdr>
          <w:top w:val="nil"/>
          <w:left w:val="nil"/>
          <w:bottom w:val="nil"/>
          <w:right w:val="nil"/>
          <w:between w:val="nil"/>
        </w:pBdr>
        <w:tabs>
          <w:tab w:val="left" w:pos="284"/>
          <w:tab w:val="left" w:pos="851"/>
          <w:tab w:val="left" w:pos="1276"/>
          <w:tab w:val="left" w:pos="2525"/>
          <w:tab w:val="center" w:pos="4873"/>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b.3) pedir para ser desclassificado quando encerrada a etapa competitiva; ou </w:t>
      </w:r>
    </w:p>
    <w:p>
      <w:pPr>
        <w:pBdr>
          <w:top w:val="nil"/>
          <w:left w:val="nil"/>
          <w:bottom w:val="nil"/>
          <w:right w:val="nil"/>
          <w:between w:val="nil"/>
        </w:pBdr>
        <w:tabs>
          <w:tab w:val="left" w:pos="284"/>
          <w:tab w:val="left" w:pos="851"/>
          <w:tab w:val="left" w:pos="1276"/>
          <w:tab w:val="left" w:pos="2525"/>
          <w:tab w:val="center" w:pos="4873"/>
          <w:tab w:val="left" w:pos="5103"/>
        </w:tabs>
        <w:jc w:val="both"/>
        <w:rPr>
          <w:rFonts w:ascii="Cambria" w:eastAsia="Arial" w:hAnsi="Cambria" w:cs="Arial"/>
          <w:color w:val="000000"/>
          <w:sz w:val="24"/>
          <w:szCs w:val="24"/>
        </w:rPr>
      </w:pPr>
      <w:r>
        <w:rPr>
          <w:rFonts w:ascii="Cambria" w:eastAsia="Arial" w:hAnsi="Cambria" w:cs="Arial"/>
          <w:color w:val="000000"/>
          <w:sz w:val="24"/>
          <w:szCs w:val="24"/>
        </w:rPr>
        <w:t>b.4) deixar de apresentar amostra;</w:t>
      </w:r>
    </w:p>
    <w:p>
      <w:pPr>
        <w:pBdr>
          <w:top w:val="nil"/>
          <w:left w:val="nil"/>
          <w:bottom w:val="nil"/>
          <w:right w:val="nil"/>
          <w:between w:val="nil"/>
        </w:pBdr>
        <w:tabs>
          <w:tab w:val="left" w:pos="284"/>
          <w:tab w:val="left" w:pos="851"/>
          <w:tab w:val="left" w:pos="1276"/>
          <w:tab w:val="left" w:pos="2525"/>
          <w:tab w:val="center" w:pos="4873"/>
          <w:tab w:val="left" w:pos="5103"/>
        </w:tabs>
        <w:jc w:val="both"/>
        <w:rPr>
          <w:rFonts w:ascii="Cambria" w:eastAsia="Arial" w:hAnsi="Cambria" w:cs="Arial"/>
          <w:color w:val="000000"/>
          <w:sz w:val="24"/>
          <w:szCs w:val="24"/>
        </w:rPr>
      </w:pPr>
      <w:r>
        <w:rPr>
          <w:rFonts w:ascii="Cambria" w:eastAsia="Arial" w:hAnsi="Cambria" w:cs="Arial"/>
          <w:color w:val="000000"/>
          <w:sz w:val="24"/>
          <w:szCs w:val="24"/>
        </w:rPr>
        <w:t xml:space="preserve">b.5) apresentar proposta ou amostra em desacordo com as especificações do edital; </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4" w:name="_heading=h.3whwml4" w:colFirst="0" w:colLast="0"/>
      <w:bookmarkEnd w:id="24"/>
      <w:r>
        <w:rPr>
          <w:rFonts w:ascii="Cambria" w:eastAsia="Arial" w:hAnsi="Cambria" w:cs="Arial"/>
          <w:color w:val="000000"/>
          <w:sz w:val="24"/>
          <w:szCs w:val="24"/>
        </w:rPr>
        <w:t>não celebrar o contrato ou não entregar a documentação exigida para a assinatura de tais instrumentos, quando convocado dentro do prazo de validade de sua proposta;</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recusar-se, sem justificativa, a assinar o contrato, ou a aceitar ou retirar o instrumento equivalente no prazo estabelecido pela Administração;</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5" w:name="_heading=h.2bn6wsx" w:colFirst="0" w:colLast="0"/>
      <w:bookmarkEnd w:id="25"/>
      <w:r>
        <w:rPr>
          <w:rFonts w:ascii="Cambria" w:eastAsia="Arial" w:hAnsi="Cambria" w:cs="Arial"/>
          <w:color w:val="000000"/>
          <w:sz w:val="24"/>
          <w:szCs w:val="24"/>
        </w:rPr>
        <w:t>apresentar declaração ou documentação falsa exigida para o certame ou prestar declaração falsa durante a licitação;</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6" w:name="_heading=h.qsh70q" w:colFirst="0" w:colLast="0"/>
      <w:bookmarkEnd w:id="26"/>
      <w:r>
        <w:rPr>
          <w:rFonts w:ascii="Cambria" w:eastAsia="Arial" w:hAnsi="Cambria" w:cs="Arial"/>
          <w:color w:val="000000"/>
          <w:sz w:val="24"/>
          <w:szCs w:val="24"/>
        </w:rPr>
        <w:t>fraudar a licitação;</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7" w:name="_heading=h.3as4poj" w:colFirst="0" w:colLast="0"/>
      <w:bookmarkEnd w:id="27"/>
      <w:r>
        <w:rPr>
          <w:rFonts w:ascii="Cambria" w:eastAsia="Arial" w:hAnsi="Cambria" w:cs="Arial"/>
          <w:color w:val="000000"/>
          <w:sz w:val="24"/>
          <w:szCs w:val="24"/>
        </w:rPr>
        <w:t>comportar-se de modo inidôneo ou cometer fraude de qualquer natureza, em especial quando:</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agir em conluio ou em desconformidade com a lei; </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induzir deliberadamente a erro no julgamento; </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apresentar amostra falsificada ou deteriorada; </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8" w:name="_heading=h.1pxezwc" w:colFirst="0" w:colLast="0"/>
      <w:bookmarkEnd w:id="28"/>
      <w:r>
        <w:rPr>
          <w:rFonts w:ascii="Cambria" w:eastAsia="Arial" w:hAnsi="Cambria" w:cs="Arial"/>
          <w:color w:val="000000"/>
          <w:sz w:val="24"/>
          <w:szCs w:val="24"/>
        </w:rPr>
        <w:t>praticar atos ilícitos com vistas a frustrar os objetivos da licitação;</w:t>
      </w:r>
    </w:p>
    <w:p>
      <w:pPr>
        <w:numPr>
          <w:ilvl w:val="2"/>
          <w:numId w:val="21"/>
        </w:numPr>
        <w:pBdr>
          <w:top w:val="nil"/>
          <w:left w:val="nil"/>
          <w:bottom w:val="nil"/>
          <w:right w:val="nil"/>
          <w:between w:val="nil"/>
        </w:pBdr>
        <w:tabs>
          <w:tab w:val="left" w:pos="284"/>
          <w:tab w:val="left" w:pos="851"/>
          <w:tab w:val="left" w:pos="1276"/>
          <w:tab w:val="left" w:pos="2525"/>
          <w:tab w:val="center" w:pos="4873"/>
          <w:tab w:val="left" w:pos="5103"/>
        </w:tabs>
        <w:ind w:left="0" w:firstLine="0"/>
        <w:jc w:val="both"/>
        <w:rPr>
          <w:rFonts w:ascii="Cambria" w:eastAsia="Arial" w:hAnsi="Cambria" w:cs="Arial"/>
          <w:color w:val="000000"/>
          <w:sz w:val="24"/>
          <w:szCs w:val="24"/>
        </w:rPr>
      </w:pPr>
      <w:bookmarkStart w:id="29" w:name="_heading=h.49x2ik5" w:colFirst="0" w:colLast="0"/>
      <w:bookmarkEnd w:id="29"/>
      <w:r>
        <w:rPr>
          <w:rFonts w:ascii="Cambria" w:eastAsia="Arial" w:hAnsi="Cambria" w:cs="Arial"/>
          <w:color w:val="000000"/>
          <w:sz w:val="24"/>
          <w:szCs w:val="24"/>
        </w:rPr>
        <w:t xml:space="preserve">praticar ato lesivo previsto no </w:t>
      </w:r>
      <w:hyperlink r:id="rId10" w:anchor="art5">
        <w:r>
          <w:rPr>
            <w:rFonts w:ascii="Cambria" w:eastAsia="Arial" w:hAnsi="Cambria" w:cs="Arial"/>
            <w:color w:val="000000"/>
            <w:sz w:val="24"/>
            <w:szCs w:val="24"/>
          </w:rPr>
          <w:t>art. 5º da Lei n.º 12.846, de 2013</w:t>
        </w:r>
      </w:hyperlink>
      <w:r>
        <w:rPr>
          <w:rFonts w:ascii="Cambria" w:eastAsia="Arial" w:hAnsi="Cambria" w:cs="Arial"/>
          <w:color w:val="000000"/>
          <w:sz w:val="24"/>
          <w:szCs w:val="24"/>
        </w:rPr>
        <w:t>.</w:t>
      </w:r>
    </w:p>
    <w:p>
      <w:pPr>
        <w:pBdr>
          <w:top w:val="nil"/>
          <w:left w:val="nil"/>
          <w:bottom w:val="nil"/>
          <w:right w:val="nil"/>
          <w:between w:val="nil"/>
        </w:pBdr>
        <w:tabs>
          <w:tab w:val="left" w:pos="284"/>
          <w:tab w:val="left" w:pos="851"/>
          <w:tab w:val="left" w:pos="1276"/>
          <w:tab w:val="left" w:pos="2525"/>
          <w:tab w:val="center" w:pos="4873"/>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p>
      <w:pPr>
        <w:tabs>
          <w:tab w:val="left" w:pos="5103"/>
        </w:tabs>
        <w:jc w:val="both"/>
        <w:rPr>
          <w:rFonts w:ascii="Cambria" w:eastAsia="Arial" w:hAnsi="Cambria" w:cs="Arial"/>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816"/>
        <w:gridCol w:w="4921"/>
      </w:tblGrid>
      <w:tr>
        <w:tc>
          <w:tcPr>
            <w:tcW w:w="2473" w:type="pct"/>
            <w:shd w:val="clear" w:color="auto" w:fill="000099"/>
          </w:tcPr>
          <w:p>
            <w:pPr>
              <w:pBdr>
                <w:top w:val="nil"/>
                <w:left w:val="nil"/>
                <w:bottom w:val="nil"/>
                <w:right w:val="nil"/>
                <w:between w:val="nil"/>
              </w:pBdr>
              <w:tabs>
                <w:tab w:val="left" w:pos="5103"/>
              </w:tabs>
              <w:jc w:val="center"/>
              <w:rPr>
                <w:rFonts w:ascii="Cambria" w:eastAsia="Arial" w:hAnsi="Cambria" w:cs="Arial"/>
                <w:b/>
                <w:color w:val="FFFFFF" w:themeColor="background1"/>
                <w:sz w:val="24"/>
                <w:szCs w:val="24"/>
              </w:rPr>
            </w:pPr>
            <w:bookmarkStart w:id="30" w:name="_heading=h.2p2csry" w:colFirst="0" w:colLast="0"/>
            <w:bookmarkEnd w:id="30"/>
            <w:r>
              <w:rPr>
                <w:rFonts w:ascii="Cambria" w:eastAsia="Arial" w:hAnsi="Cambria" w:cs="Arial"/>
                <w:b/>
                <w:color w:val="FFFFFF" w:themeColor="background1"/>
                <w:sz w:val="24"/>
                <w:szCs w:val="24"/>
              </w:rPr>
              <w:lastRenderedPageBreak/>
              <w:t>Ocorrência</w:t>
            </w:r>
          </w:p>
        </w:tc>
        <w:tc>
          <w:tcPr>
            <w:tcW w:w="2527" w:type="pct"/>
            <w:shd w:val="clear" w:color="auto" w:fill="000099"/>
          </w:tcPr>
          <w:p>
            <w:pPr>
              <w:pBdr>
                <w:top w:val="nil"/>
                <w:left w:val="nil"/>
                <w:bottom w:val="nil"/>
                <w:right w:val="nil"/>
                <w:between w:val="nil"/>
              </w:pBdr>
              <w:tabs>
                <w:tab w:val="left" w:pos="5103"/>
              </w:tabs>
              <w:jc w:val="center"/>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Penalidade</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Dar causa a inexecução parcial do objeto.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Advertência,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Dar causa à inexecução parcial do objeto que cause grave dano à Administração, ao funcionamento dos serviços públicos ou ao interesse coletivo.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Impedimento de licitar e contratar no âmbito da União pelo período de 6 (seis) meses a 2 (dois) anos,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Dar causa à inexecução total do objeto.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Impedimento de licitar e contratar no âmbito da União pelo período de 1 um) ano a 3 (três) anos,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Deixar de entregar documentação exigida para o certame.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Impedimento de licitar e contratar no âmbito da União pelo período de 1 mês a 6 meses,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Não mantiver a proposta, salvo em decorrência de fato superveniente devidamente justificado.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Impedimento de licitar e contratar no âmbito da União pelo período de 2 (dois) meses a 1 (um) ano,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Não entregar a documentação exigida para a contratação quando convocado dentro do prazo de validade de sua proposta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Impedimento de licitar e contratar no âmbito da União pelo período de 3 (três) meses a 2 (dois) anos,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Ensejar o retardamento da execução do objeto ou da entrega do objeto da licitação sem motivo justificado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Impedimento de licitar e contratar no âmbito da União pelo período de 3 (três) meses a 1 (um) ano e 6 (seis) meses, quando não se justificar a imposição de penalidade mais grave.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Apresentar declaração ou documentação falsa exigida para o certame ou prestar declaração falsa durante a licitação ou a execução do objeto</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Declaração de inidoneidade para licitar ou contratar, pelo período de 3 (três) a 6 (seis) anos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Fraudar a licitação ou praticar ato fraudulento na execução do objeto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Declaração de inidoneidade para licitar ou contratar, pelo período de 3 (três) a 6 (seis) anos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Comportar-se de modo inidôneo ou cometer fraude de qualquer natureza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Declaração de inidoneidade para licitar ou contratar, pelo período de 3 (três) a 6 (seis) anos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Praticar atos ilícitos com vistas a frustrar os objetivos da licitação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Declaração de inidoneidade para licitar ou contratar, pelo período de 3 (três) a 6 (seis) anos </w:t>
            </w:r>
          </w:p>
        </w:tc>
      </w:tr>
      <w:tr>
        <w:tc>
          <w:tcPr>
            <w:tcW w:w="2473" w:type="pct"/>
            <w:shd w:val="clear" w:color="auto" w:fill="000099"/>
            <w:vAlign w:val="center"/>
          </w:tcPr>
          <w:p>
            <w:pPr>
              <w:numPr>
                <w:ilvl w:val="0"/>
                <w:numId w:val="22"/>
              </w:numPr>
              <w:pBdr>
                <w:top w:val="nil"/>
                <w:left w:val="nil"/>
                <w:bottom w:val="nil"/>
                <w:right w:val="nil"/>
                <w:between w:val="nil"/>
              </w:pBdr>
              <w:tabs>
                <w:tab w:val="left" w:pos="316"/>
                <w:tab w:val="left" w:pos="5103"/>
              </w:tabs>
              <w:ind w:left="32" w:firstLine="0"/>
              <w:jc w:val="both"/>
              <w:rPr>
                <w:rFonts w:ascii="Cambria" w:eastAsia="Arial" w:hAnsi="Cambria" w:cs="Arial"/>
                <w:b/>
                <w:color w:val="FFFFFF" w:themeColor="background1"/>
                <w:sz w:val="24"/>
                <w:szCs w:val="24"/>
              </w:rPr>
            </w:pPr>
            <w:r>
              <w:rPr>
                <w:rFonts w:ascii="Cambria" w:eastAsia="Arial" w:hAnsi="Cambria" w:cs="Arial"/>
                <w:b/>
                <w:color w:val="FFFFFF" w:themeColor="background1"/>
                <w:sz w:val="24"/>
                <w:szCs w:val="24"/>
              </w:rPr>
              <w:t xml:space="preserve">Praticar ato lesivo previsto no art. 5º da Lei nº 12.846, de 1º de agosto de 2013 </w:t>
            </w:r>
          </w:p>
        </w:tc>
        <w:tc>
          <w:tcPr>
            <w:tcW w:w="2527" w:type="pct"/>
            <w:vAlign w:val="center"/>
          </w:tcPr>
          <w:p>
            <w:pPr>
              <w:pBdr>
                <w:top w:val="nil"/>
                <w:left w:val="nil"/>
                <w:bottom w:val="nil"/>
                <w:right w:val="nil"/>
                <w:between w:val="nil"/>
              </w:pBdr>
              <w:tabs>
                <w:tab w:val="left" w:pos="5103"/>
              </w:tabs>
              <w:jc w:val="both"/>
              <w:rPr>
                <w:rFonts w:ascii="Cambria" w:eastAsia="Arial" w:hAnsi="Cambria" w:cs="Arial"/>
                <w:bCs/>
                <w:color w:val="000000"/>
                <w:sz w:val="24"/>
                <w:szCs w:val="24"/>
              </w:rPr>
            </w:pPr>
            <w:r>
              <w:rPr>
                <w:rFonts w:ascii="Cambria" w:eastAsia="Arial" w:hAnsi="Cambria" w:cs="Arial"/>
                <w:bCs/>
                <w:color w:val="000000"/>
                <w:sz w:val="24"/>
                <w:szCs w:val="24"/>
              </w:rPr>
              <w:t xml:space="preserve">Declaração de inidoneidade para licitar ou contratar, pelo período de 3 (três) a 6 (seis) anos. </w:t>
            </w:r>
          </w:p>
        </w:tc>
      </w:tr>
    </w:tbl>
    <w:p>
      <w:pPr>
        <w:tabs>
          <w:tab w:val="left" w:pos="5103"/>
        </w:tabs>
        <w:jc w:val="both"/>
        <w:rPr>
          <w:rFonts w:ascii="Cambria" w:eastAsia="Arial" w:hAnsi="Cambria" w:cs="Arial"/>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bookmarkStart w:id="31" w:name="_heading=h.147n2zr" w:colFirst="0" w:colLast="0"/>
      <w:bookmarkEnd w:id="31"/>
      <w:r>
        <w:rPr>
          <w:rFonts w:ascii="Cambria" w:eastAsia="Arial" w:hAnsi="Cambria" w:cs="Arial"/>
          <w:color w:val="000000"/>
          <w:sz w:val="24"/>
          <w:szCs w:val="24"/>
        </w:rPr>
        <w:lastRenderedPageBreak/>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Bdr>
          <w:top w:val="nil"/>
          <w:left w:val="nil"/>
          <w:bottom w:val="nil"/>
          <w:right w:val="nil"/>
          <w:between w:val="nil"/>
        </w:pBdr>
        <w:tabs>
          <w:tab w:val="left" w:pos="567"/>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PROCEDIMENTO ADMINISTRATIVO: As sanções serão aplicadas após regular processo administrativo, assegurada a ampla defesa e o contraditório.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proponente deverá manter atualizado o endereço de correio eletrônico ("e-mail") cadastrado junto ao SICAF e confirmar o recebimento das mensagens provenientes do município de Miraíma/CE, não podendo alegar o desconhecimento do recebimento das comunicações por este meio como justificativa para se eximir das responsabilidades assumidas ou eventuais sanções aplicadas.</w:t>
      </w:r>
    </w:p>
    <w:p>
      <w:pPr>
        <w:pBdr>
          <w:top w:val="nil"/>
          <w:left w:val="nil"/>
          <w:bottom w:val="nil"/>
          <w:right w:val="nil"/>
          <w:between w:val="nil"/>
        </w:pBdr>
        <w:tabs>
          <w:tab w:val="left" w:pos="567"/>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penalidade resultante da aplicação do item anterior não poderá ser maior do que as penalidades consideradas cumulativamente.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 cometimento reiterado de atrasos injustificados dos prazos previstos para a execução do objeto poderá resultar no cancelamento do registro de preços do Fornecedor.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Será considerado em estado de reiterado cometimento de atrasos dos prazos o Fornecedor que incorrer no terceiro atraso injustificado, ao longo da vigência da Ata.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multa, calculada na forma do Anexo I - Termo de Referência, não poderá ser inferior a 0,5% (cinco décimos por cento) nem superior a 30% (trinta por cento) do valor do contrato e será aplicada ao responsável por qualquer das infrações administrativas previstas no art. 155 da Lei n. 14.133/2021.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Se a multa aplicada e as indenizações cabíveis forem superiores ao valor de pagamento eventualmente devido pela Administração ao </w:t>
      </w:r>
      <w:r>
        <w:rPr>
          <w:rFonts w:ascii="Cambria" w:eastAsia="Arial" w:hAnsi="Cambria" w:cs="Arial"/>
          <w:color w:val="000000"/>
          <w:sz w:val="24"/>
          <w:szCs w:val="24"/>
        </w:rPr>
        <w:lastRenderedPageBreak/>
        <w:t xml:space="preserve">Fornecedor, além da perda desse valor, a diferença será descontada da garantia prestada ou será cobrada judicialmente.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Se a garantia contratual exigida for prestada por seguradora, essa será notificada da abertura de processo de apuração de responsabilidade do qual possa resultar na aplicação da penalidade de multa ao Fornecedor.</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bookmarkStart w:id="32" w:name="_heading=h.3o7alnk" w:colFirst="0" w:colLast="0"/>
      <w:bookmarkEnd w:id="32"/>
      <w:r>
        <w:rPr>
          <w:rFonts w:ascii="Cambria" w:eastAsia="Arial" w:hAnsi="Cambria" w:cs="Arial"/>
          <w:color w:val="000000"/>
          <w:sz w:val="24"/>
          <w:szCs w:val="24"/>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aplicação das sanções previstas neste Edital não exclui, em hipótese alguma, a obrigação de reparação integral do dano causado à Administração Pública.</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bookmarkStart w:id="33" w:name="_heading=h.23ckvvd" w:colFirst="0" w:colLast="0"/>
      <w:bookmarkEnd w:id="33"/>
      <w:r>
        <w:rPr>
          <w:rFonts w:ascii="Cambria" w:eastAsia="Arial" w:hAnsi="Cambria" w:cs="Arial"/>
          <w:color w:val="000000"/>
          <w:sz w:val="24"/>
          <w:szCs w:val="24"/>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bookmarkStart w:id="34" w:name="_heading=h.ihv636" w:colFirst="0" w:colLast="0"/>
      <w:bookmarkEnd w:id="34"/>
      <w:r>
        <w:rPr>
          <w:rFonts w:ascii="Cambria" w:eastAsia="Arial" w:hAnsi="Cambria" w:cs="Arial"/>
          <w:color w:val="000000"/>
          <w:sz w:val="24"/>
          <w:szCs w:val="24"/>
        </w:rPr>
        <w:t>Na hipótese de deferimento de pedido de produção de novas provas ou de juntada de provas julgadas indispensáveis pela comissão, o licitante ou o Fornecedor poderá apresentar alegações finais no prazo de 15 dias úteis, contado da data da intimação.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Serão indeferidas pela Comissão de PAR, mediante decisão fundamentada, provas ilícitas, impertinentes, desnecessárias, protelatórias ou intempestivas.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A prescrição da pretensão de aplicação das sanções ocorrerá em 5 (cinco) anos, contados da ciência da infração pela Administração, e será interrompida e suspensa na forma da Lei.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bookmarkStart w:id="35" w:name="_heading=h.32hioqz" w:colFirst="0" w:colLast="0"/>
      <w:bookmarkEnd w:id="35"/>
      <w:r>
        <w:rPr>
          <w:rFonts w:ascii="Cambria" w:eastAsia="Arial" w:hAnsi="Cambria" w:cs="Arial"/>
          <w:color w:val="000000"/>
          <w:sz w:val="24"/>
          <w:szCs w:val="24"/>
        </w:rPr>
        <w:t>Excepcionalmente, desde que justificado pelo gestor da ata, no Procedimento Administrativo de Apuração de Responsabilidade - PAAR, o município poderá, ad cautelam, efetuar a retenção do valor da multa presumida, em conformidade com o instrumento convocatório ou Termo de Referência, e instaurar de imediato o procedimento administrativo para apuração de responsabilidade por descumprimento, que deverá ter tramitação prioritária.</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bookmarkStart w:id="36" w:name="_heading=h.1hmsyys" w:colFirst="0" w:colLast="0"/>
      <w:bookmarkEnd w:id="36"/>
      <w:r>
        <w:rPr>
          <w:rFonts w:ascii="Cambria" w:eastAsia="Arial" w:hAnsi="Cambria" w:cs="Arial"/>
          <w:color w:val="000000"/>
          <w:sz w:val="24"/>
          <w:szCs w:val="24"/>
        </w:rPr>
        <w:t xml:space="preserve">No caso de provimento do recurso ou de reconsideração da decisão, os autos serão remetidos à Secretaria de Finanças para devolução ao fornecedor dos valores eventualmente retidos. </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Os instrumentos de requerimentos, de defesas prévias e de recursos eventualmente interpostos pelos licitantes, adjudicatários e/ou por quaisquer interessados deverão ser instruídos com os documentos hábeis à prova das </w:t>
      </w:r>
      <w:r>
        <w:rPr>
          <w:rFonts w:ascii="Cambria" w:eastAsia="Arial" w:hAnsi="Cambria" w:cs="Arial"/>
          <w:color w:val="000000"/>
          <w:sz w:val="24"/>
          <w:szCs w:val="24"/>
        </w:rPr>
        <w:lastRenderedPageBreak/>
        <w:t>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pStyle w:val="Ttulo1"/>
        <w:numPr>
          <w:ilvl w:val="0"/>
          <w:numId w:val="28"/>
        </w:numPr>
        <w:tabs>
          <w:tab w:val="left" w:pos="426"/>
          <w:tab w:val="left" w:pos="5103"/>
        </w:tabs>
        <w:ind w:left="0" w:firstLine="0"/>
        <w:rPr>
          <w:rFonts w:ascii="Cambria" w:hAnsi="Cambria"/>
          <w:b/>
          <w:bCs/>
          <w:color w:val="auto"/>
          <w:sz w:val="24"/>
          <w:szCs w:val="24"/>
        </w:rPr>
      </w:pPr>
      <w:bookmarkStart w:id="37" w:name="_heading=h.41mghml" w:colFirst="0" w:colLast="0"/>
      <w:bookmarkEnd w:id="37"/>
      <w:r>
        <w:rPr>
          <w:rFonts w:ascii="Cambria" w:hAnsi="Cambria"/>
          <w:b/>
          <w:bCs/>
          <w:color w:val="auto"/>
          <w:sz w:val="24"/>
          <w:szCs w:val="24"/>
        </w:rPr>
        <w:t xml:space="preserve">FRAUDE E CORRUPÇÃO </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tabs>
          <w:tab w:val="left" w:pos="5103"/>
        </w:tabs>
        <w:jc w:val="both"/>
        <w:rPr>
          <w:rFonts w:ascii="Cambria" w:eastAsia="Arial" w:hAnsi="Cambria" w:cs="Arial"/>
          <w:sz w:val="24"/>
          <w:szCs w:val="24"/>
        </w:rPr>
      </w:pPr>
      <w:r>
        <w:rPr>
          <w:rFonts w:ascii="Cambria" w:eastAsia="Arial" w:hAnsi="Cambria" w:cs="Arial"/>
          <w:sz w:val="24"/>
          <w:szCs w:val="24"/>
        </w:rPr>
        <w:t>a) “prática corrupta”: oferecer, dar, receber ou solicitar, direta ou indiretamente, qualquer vantagem com o objetivo de influenciar a ação de servidor público no processo de licitação ou na execução de contrato;</w:t>
      </w:r>
    </w:p>
    <w:p>
      <w:pPr>
        <w:tabs>
          <w:tab w:val="left" w:pos="5103"/>
        </w:tabs>
        <w:jc w:val="both"/>
        <w:rPr>
          <w:rFonts w:ascii="Cambria" w:eastAsia="Arial" w:hAnsi="Cambria" w:cs="Arial"/>
          <w:sz w:val="24"/>
          <w:szCs w:val="24"/>
        </w:rPr>
      </w:pPr>
      <w:r>
        <w:rPr>
          <w:rFonts w:ascii="Cambria" w:eastAsia="Arial" w:hAnsi="Cambria" w:cs="Arial"/>
          <w:sz w:val="24"/>
          <w:szCs w:val="24"/>
        </w:rPr>
        <w:t>b) “prática fraudulenta”: a falsificação ou omissão dos fatos, com o objetivo de influenciar o processo de licitação ou de execução de contrato;</w:t>
      </w:r>
    </w:p>
    <w:p>
      <w:pPr>
        <w:tabs>
          <w:tab w:val="left" w:pos="5103"/>
        </w:tabs>
        <w:jc w:val="both"/>
        <w:rPr>
          <w:rFonts w:ascii="Cambria" w:eastAsia="Arial" w:hAnsi="Cambria" w:cs="Arial"/>
          <w:sz w:val="24"/>
          <w:szCs w:val="24"/>
        </w:rPr>
      </w:pPr>
      <w:r>
        <w:rPr>
          <w:rFonts w:ascii="Cambria" w:eastAsia="Arial" w:hAnsi="Cambria" w:cs="Arial"/>
          <w:sz w:val="24"/>
          <w:szCs w:val="24"/>
        </w:rPr>
        <w:t>c) “prática conluiada”: esquematizar ou estabelecer um acordo entre duas ou mais proponentes, com ou sem o conhecimento de representantes ou prepostos do órgão licitador, visando estabelecer preços em níveis artificiais e não-competitivos;</w:t>
      </w:r>
    </w:p>
    <w:p>
      <w:pPr>
        <w:tabs>
          <w:tab w:val="left" w:pos="5103"/>
        </w:tabs>
        <w:jc w:val="both"/>
        <w:rPr>
          <w:rFonts w:ascii="Cambria" w:eastAsia="Arial" w:hAnsi="Cambria" w:cs="Arial"/>
          <w:sz w:val="24"/>
          <w:szCs w:val="24"/>
        </w:rPr>
      </w:pPr>
      <w:r>
        <w:rPr>
          <w:rFonts w:ascii="Cambria" w:eastAsia="Arial" w:hAnsi="Cambria" w:cs="Arial"/>
          <w:sz w:val="24"/>
          <w:szCs w:val="24"/>
        </w:rPr>
        <w:t>d) “prática coercitiva”: causar dano ou ameaçar causar dano, direta ou indiretamente, às pessoas ou sua propriedade, visando a influenciar sua participação em um processo licitatório ou afetar a execução do contrato.</w:t>
      </w:r>
    </w:p>
    <w:p>
      <w:pPr>
        <w:tabs>
          <w:tab w:val="left" w:pos="5103"/>
        </w:tabs>
        <w:jc w:val="both"/>
        <w:rPr>
          <w:rFonts w:ascii="Cambria" w:eastAsia="Arial" w:hAnsi="Cambria" w:cs="Arial"/>
          <w:sz w:val="24"/>
          <w:szCs w:val="24"/>
        </w:rPr>
      </w:pPr>
      <w:r>
        <w:rPr>
          <w:rFonts w:ascii="Cambria" w:eastAsia="Arial" w:hAnsi="Cambria" w:cs="Arial"/>
          <w:sz w:val="24"/>
          <w:szCs w:val="24"/>
        </w:rPr>
        <w:t>e) “prática obstrutiva”:</w:t>
      </w:r>
    </w:p>
    <w:p>
      <w:pPr>
        <w:tabs>
          <w:tab w:val="left" w:pos="5103"/>
        </w:tabs>
        <w:jc w:val="both"/>
        <w:rPr>
          <w:rFonts w:ascii="Cambria" w:eastAsia="Arial" w:hAnsi="Cambria" w:cs="Arial"/>
          <w:sz w:val="24"/>
          <w:szCs w:val="24"/>
        </w:rPr>
      </w:pPr>
      <w:r>
        <w:rPr>
          <w:rFonts w:ascii="Cambria" w:eastAsia="Arial" w:hAnsi="Cambria" w:cs="Arial"/>
          <w:sz w:val="24"/>
          <w:szCs w:val="24"/>
        </w:rPr>
        <w:t>(1) destruir, falsificar, alterar ou ocultar provas em inspeções ou fazer declarações falsas aos representantes do organismo financeiro multilateral, com o objetivo de impedir materialmente a apuração de alegações de prática prevista neste subitem;</w:t>
      </w:r>
    </w:p>
    <w:p>
      <w:pPr>
        <w:tabs>
          <w:tab w:val="left" w:pos="5103"/>
        </w:tabs>
        <w:jc w:val="both"/>
        <w:rPr>
          <w:rFonts w:ascii="Cambria" w:eastAsia="Arial" w:hAnsi="Cambria" w:cs="Arial"/>
          <w:sz w:val="24"/>
          <w:szCs w:val="24"/>
        </w:rPr>
      </w:pPr>
      <w:r>
        <w:rPr>
          <w:rFonts w:ascii="Cambria" w:eastAsia="Arial" w:hAnsi="Cambria" w:cs="Arial"/>
          <w:sz w:val="24"/>
          <w:szCs w:val="24"/>
        </w:rPr>
        <w:t>(2) atos cuja intenção seja impedir materialmente o exercício do direito de o organismo financeiro multilateral promover inspeção.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pStyle w:val="Ttulo1"/>
        <w:numPr>
          <w:ilvl w:val="0"/>
          <w:numId w:val="28"/>
        </w:numPr>
        <w:tabs>
          <w:tab w:val="left" w:pos="426"/>
          <w:tab w:val="left" w:pos="5103"/>
        </w:tabs>
        <w:ind w:left="0" w:firstLine="0"/>
        <w:rPr>
          <w:rFonts w:ascii="Cambria" w:hAnsi="Cambria"/>
          <w:b/>
          <w:bCs/>
          <w:color w:val="auto"/>
          <w:sz w:val="24"/>
          <w:szCs w:val="24"/>
        </w:rPr>
      </w:pPr>
      <w:bookmarkStart w:id="38" w:name="_heading=h.2grqrue" w:colFirst="0" w:colLast="0"/>
      <w:bookmarkEnd w:id="38"/>
      <w:r>
        <w:rPr>
          <w:rFonts w:ascii="Cambria" w:hAnsi="Cambria"/>
          <w:b/>
          <w:bCs/>
          <w:color w:val="auto"/>
          <w:sz w:val="24"/>
          <w:szCs w:val="24"/>
        </w:rPr>
        <w:t xml:space="preserve">DOS ESCLARECIMENTOS, IMPUGNAÇÕES, DILIGÊNCIAS, REVOGAÇÃO E ANULAÇÃO </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ind w:left="-1134"/>
        <w:rPr>
          <w:rFonts w:ascii="Cambria" w:eastAsia="Arial" w:hAnsi="Cambria" w:cs="Arial"/>
          <w:sz w:val="24"/>
          <w:szCs w:val="24"/>
        </w:rPr>
      </w:pPr>
    </w:p>
    <w:p>
      <w:pPr>
        <w:shd w:val="clear" w:color="auto" w:fill="000099"/>
        <w:tabs>
          <w:tab w:val="left" w:pos="5103"/>
        </w:tabs>
        <w:jc w:val="center"/>
        <w:rPr>
          <w:rFonts w:ascii="Cambria" w:eastAsia="Arial" w:hAnsi="Cambria" w:cs="Arial"/>
          <w:b/>
          <w:sz w:val="24"/>
          <w:szCs w:val="24"/>
          <w:u w:val="single"/>
        </w:rPr>
      </w:pPr>
      <w:r>
        <w:rPr>
          <w:rFonts w:ascii="Cambria" w:eastAsia="Arial" w:hAnsi="Cambria" w:cs="Arial"/>
          <w:b/>
          <w:sz w:val="24"/>
          <w:szCs w:val="24"/>
          <w:u w:val="single"/>
        </w:rPr>
        <w:t>DAS SOLICITAÇÕES DE ESCLARECIMENTO E IMPUGNAÇÕES</w:t>
      </w:r>
    </w:p>
    <w:p>
      <w:pPr>
        <w:pBdr>
          <w:top w:val="nil"/>
          <w:left w:val="nil"/>
          <w:bottom w:val="nil"/>
          <w:right w:val="nil"/>
          <w:between w:val="nil"/>
        </w:pBdr>
        <w:tabs>
          <w:tab w:val="left" w:pos="5103"/>
        </w:tabs>
        <w:jc w:val="both"/>
        <w:rPr>
          <w:rFonts w:ascii="Cambria" w:eastAsia="Arial" w:hAnsi="Cambria" w:cs="Arial"/>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Qualquer pessoa física ou jurídica poderá, no prazo de até </w:t>
      </w:r>
      <w:r>
        <w:rPr>
          <w:rFonts w:ascii="Cambria" w:eastAsia="Arial" w:hAnsi="Cambria" w:cs="Arial"/>
          <w:b/>
          <w:color w:val="000000"/>
          <w:sz w:val="24"/>
          <w:szCs w:val="24"/>
        </w:rPr>
        <w:t>03 (três) dias úteis</w:t>
      </w:r>
      <w:r>
        <w:rPr>
          <w:rFonts w:ascii="Cambria" w:eastAsia="Arial" w:hAnsi="Cambria" w:cs="Arial"/>
          <w:color w:val="000000"/>
          <w:sz w:val="24"/>
          <w:szCs w:val="24"/>
        </w:rPr>
        <w:t xml:space="preserve"> antes da data fixada para recebimento das Propostas de Preços, solicitar esclarecimento e ou impugnar o ato convocatório deste Pregão.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Decairá do direito de impugnar os termos do edital de licitação perante a Administração aquele que não o fizer dentro do prazo fixado neste subitem, hipótese em que tal comunicação não terá efeito de recurso.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lastRenderedPageBreak/>
        <w:t>Impugnação feita tempestivamente pelo proponente não o impedirá de participar do processo licitatório até o trânsito em julgado da decisão a ela pertinente.</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endereçamento o(a) Pregoeiro(a) da Prefeitura de Miraíma/CE;</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fato e o fundamento jurídico de seu pedido, indicando quais os itens ou subitens discutidos;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pedido, com suas especificações;</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proponente deverá juntar cópia do ato constitutivo, bem como, documento de identificação (com foto) válido na forma da Lei do responsável legal pela mesma e, ainda, deverá apresentar prova de mandato, se for o caso.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Pregoeiro poderá requisitar subsídios formais aos responsáveis pela elaboração do edital de licitação e dos anexos.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 xml:space="preserve">Caberá o(a) Pregoeiro(a) decidir e divulgar em sítio eletrônico oficial no prazo de até </w:t>
      </w:r>
      <w:r>
        <w:rPr>
          <w:rFonts w:ascii="Cambria" w:eastAsia="Arial" w:hAnsi="Cambria" w:cs="Arial"/>
          <w:b/>
          <w:color w:val="000000"/>
          <w:sz w:val="24"/>
          <w:szCs w:val="24"/>
        </w:rPr>
        <w:t>3 (três) dias úteis</w:t>
      </w:r>
      <w:r>
        <w:rPr>
          <w:rFonts w:ascii="Cambria" w:eastAsia="Arial" w:hAnsi="Cambria" w:cs="Arial"/>
          <w:color w:val="000000"/>
          <w:sz w:val="24"/>
          <w:szCs w:val="24"/>
        </w:rPr>
        <w:t>, limitado ao último dia útil anterior à data da abertura do certame.</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 resposta do Município de Miraíma/CE será disponibilizada a todos os interessados mediante afixação de cópia da íntegra do ato proferido pela Administração no sítio virtual:  https://municipios-licitacoes.tce.ce.gov.br/.</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aditamento prevalecerá sempre em relação ao que for aditado.</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Qualquer modificação neste edital será divulgada pela mesma forma que se deu ao texto original.</w:t>
      </w:r>
    </w:p>
    <w:p>
      <w:pPr>
        <w:tabs>
          <w:tab w:val="left" w:pos="5103"/>
        </w:tabs>
        <w:jc w:val="both"/>
        <w:rPr>
          <w:rFonts w:ascii="Cambria" w:eastAsia="Arial" w:hAnsi="Cambria" w:cs="Arial"/>
          <w:sz w:val="24"/>
          <w:szCs w:val="24"/>
        </w:rPr>
      </w:pPr>
    </w:p>
    <w:p>
      <w:pPr>
        <w:widowControl w:val="0"/>
        <w:pBdr>
          <w:top w:val="nil"/>
          <w:left w:val="nil"/>
          <w:bottom w:val="nil"/>
          <w:right w:val="nil"/>
          <w:between w:val="nil"/>
        </w:pBdr>
        <w:shd w:val="clear" w:color="auto" w:fill="000099"/>
        <w:tabs>
          <w:tab w:val="left" w:pos="5103"/>
        </w:tabs>
        <w:jc w:val="center"/>
        <w:rPr>
          <w:rFonts w:ascii="Cambria" w:eastAsia="Arial" w:hAnsi="Cambria" w:cs="Arial"/>
          <w:b/>
          <w:color w:val="FFFFFF" w:themeColor="background1"/>
          <w:sz w:val="24"/>
          <w:szCs w:val="24"/>
          <w:u w:val="single"/>
        </w:rPr>
      </w:pPr>
      <w:r>
        <w:rPr>
          <w:rFonts w:ascii="Cambria" w:eastAsia="Arial" w:hAnsi="Cambria" w:cs="Arial"/>
          <w:b/>
          <w:color w:val="FFFFFF" w:themeColor="background1"/>
          <w:sz w:val="24"/>
          <w:szCs w:val="24"/>
          <w:u w:val="single"/>
        </w:rPr>
        <w:t>DILIGÊNCIA, REVOGAÇÃO E ANULAÇÃO</w:t>
      </w:r>
    </w:p>
    <w:p>
      <w:pPr>
        <w:widowControl w:val="0"/>
        <w:pBdr>
          <w:top w:val="nil"/>
          <w:left w:val="nil"/>
          <w:bottom w:val="nil"/>
          <w:right w:val="nil"/>
          <w:between w:val="nil"/>
        </w:pBdr>
        <w:tabs>
          <w:tab w:val="left" w:pos="5103"/>
        </w:tabs>
        <w:jc w:val="both"/>
        <w:rPr>
          <w:rFonts w:ascii="Cambria" w:eastAsia="Arial" w:hAnsi="Cambria" w:cs="Arial"/>
          <w:b/>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b/>
          <w:color w:val="000000"/>
          <w:sz w:val="24"/>
          <w:szCs w:val="24"/>
        </w:rPr>
        <w:t>DILIGÊNCIA:</w:t>
      </w:r>
      <w:r>
        <w:rPr>
          <w:rFonts w:ascii="Cambria" w:eastAsia="Arial" w:hAnsi="Cambria" w:cs="Arial"/>
          <w:color w:val="000000"/>
          <w:sz w:val="24"/>
          <w:szCs w:val="24"/>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numPr>
          <w:ilvl w:val="2"/>
          <w:numId w:val="28"/>
        </w:numPr>
        <w:pBdr>
          <w:top w:val="nil"/>
          <w:left w:val="nil"/>
          <w:bottom w:val="nil"/>
          <w:right w:val="nil"/>
          <w:between w:val="nil"/>
        </w:pBdr>
        <w:tabs>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proponentes notificados para prestar quaisquer esclarecimentos adicionais deverão fazê-lo no prazo determinado pelo(a) Pregoeiro(a), sob pena de desclassificação/inabilitação.</w:t>
      </w:r>
    </w:p>
    <w:p>
      <w:pPr>
        <w:widowControl w:val="0"/>
        <w:pBdr>
          <w:top w:val="nil"/>
          <w:left w:val="nil"/>
          <w:bottom w:val="nil"/>
          <w:right w:val="nil"/>
          <w:between w:val="nil"/>
        </w:pBdr>
        <w:tabs>
          <w:tab w:val="left" w:pos="5103"/>
        </w:tabs>
        <w:jc w:val="both"/>
        <w:rPr>
          <w:rFonts w:ascii="Cambria" w:eastAsia="Arial" w:hAnsi="Cambria" w:cs="Arial"/>
          <w:b/>
          <w:color w:val="000000"/>
          <w:sz w:val="24"/>
          <w:szCs w:val="24"/>
        </w:rPr>
      </w:pP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b/>
          <w:color w:val="000000"/>
          <w:sz w:val="24"/>
          <w:szCs w:val="24"/>
        </w:rPr>
        <w:t>REVOGAÇÃO E ANULAÇÃO:</w:t>
      </w:r>
      <w:r>
        <w:rPr>
          <w:rFonts w:ascii="Cambria" w:eastAsia="Arial" w:hAnsi="Cambria" w:cs="Arial"/>
          <w:color w:val="000000"/>
          <w:sz w:val="24"/>
          <w:szCs w:val="24"/>
        </w:rPr>
        <w:t xml:space="preserve"> 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pStyle w:val="Ttulo1"/>
        <w:numPr>
          <w:ilvl w:val="0"/>
          <w:numId w:val="28"/>
        </w:numPr>
        <w:tabs>
          <w:tab w:val="left" w:pos="426"/>
          <w:tab w:val="left" w:pos="5103"/>
        </w:tabs>
        <w:ind w:left="0" w:firstLine="0"/>
        <w:rPr>
          <w:rFonts w:ascii="Cambria" w:hAnsi="Cambria"/>
          <w:b/>
          <w:bCs/>
          <w:color w:val="auto"/>
          <w:sz w:val="24"/>
          <w:szCs w:val="24"/>
        </w:rPr>
      </w:pPr>
      <w:bookmarkStart w:id="39" w:name="_heading=h.vx1227" w:colFirst="0" w:colLast="0"/>
      <w:bookmarkEnd w:id="39"/>
      <w:r>
        <w:rPr>
          <w:rFonts w:ascii="Cambria" w:hAnsi="Cambria"/>
          <w:b/>
          <w:bCs/>
          <w:color w:val="auto"/>
          <w:sz w:val="24"/>
          <w:szCs w:val="24"/>
        </w:rPr>
        <w:t xml:space="preserve">DISPOSIÇÕES GERAIS </w:t>
      </w:r>
    </w:p>
    <w:p>
      <w:pPr>
        <w:tabs>
          <w:tab w:val="left" w:pos="5103"/>
        </w:tabs>
        <w:ind w:lef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As normas que disciplinam este Pregão Eletrônico serão sempre interpretadas em favor da ampliação da disputa entre os interessados, atendidos o interesse público, sem comprometimento da segurança e do regular funcionamento da administração.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casos omissos poderão ser resolvidos pelo(a) Pregoeiro(a) durante a sessão e pela(s) autoridade(s) competente(s), em outros casos, mediante aplicação dos Regulamentos Municipais que tratam de Licitações e Contratos e da Lei n.º 14.133/2021 de 1º de abril de 2021.</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Nenhuma indenização será devida às proponentes pela elaboração ou pela apresentação de documentação referente ao presente edital, nem em relação às expectativas de contratações dela decorrentes.</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Os avisos de prosseguimento das sessões, a decisão sobre os recursos interpostos, a Anulação ou revogação serão feitos aos interessados mediante publicação no quadro de avisos da Prefeitura Municipal de Miraíma/CE, conforme disposto na Lei Orgânica do Município e no “chat” do www.compras.gov.br.</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Quaisquer informações poderão ser obtidas das 07:00h às 13:00h, na sede do Setor de Licitações da Prefeitura de Miraíma/CE, situada na Esplanada da Estação, 433 – Centro – Miraíma – CE.</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O referido edital e seus ANEXOS estão disponíveis no seguinte sítio virtual: https://municipios-licitacoes.tce.ce.gov.br, nos termos da IN 04/2015-TCM/CE.</w:t>
      </w:r>
    </w:p>
    <w:p>
      <w:pPr>
        <w:numPr>
          <w:ilvl w:val="1"/>
          <w:numId w:val="28"/>
        </w:numPr>
        <w:pBdr>
          <w:top w:val="nil"/>
          <w:left w:val="nil"/>
          <w:bottom w:val="nil"/>
          <w:right w:val="nil"/>
          <w:between w:val="nil"/>
        </w:pBdr>
        <w:tabs>
          <w:tab w:val="left" w:pos="567"/>
          <w:tab w:val="left" w:pos="5103"/>
        </w:tabs>
        <w:ind w:left="0" w:firstLine="0"/>
        <w:jc w:val="both"/>
        <w:rPr>
          <w:rFonts w:ascii="Cambria" w:eastAsia="Arial" w:hAnsi="Cambria" w:cs="Arial"/>
          <w:color w:val="000000"/>
          <w:sz w:val="24"/>
          <w:szCs w:val="24"/>
        </w:rPr>
      </w:pPr>
      <w:r>
        <w:rPr>
          <w:rFonts w:ascii="Cambria" w:eastAsia="Arial" w:hAnsi="Cambria" w:cs="Arial"/>
          <w:color w:val="000000"/>
          <w:sz w:val="24"/>
          <w:szCs w:val="24"/>
        </w:rPr>
        <w:t>Para dirimir, na esfera judicial, as questões oriundas do presente edital será competente o Foro da Comarca de Miraíma - CE.</w:t>
      </w:r>
    </w:p>
    <w:p>
      <w:pPr>
        <w:tabs>
          <w:tab w:val="left" w:pos="5103"/>
        </w:tabs>
        <w:jc w:val="center"/>
        <w:rPr>
          <w:rFonts w:ascii="Cambria" w:eastAsia="Arial" w:hAnsi="Cambria" w:cs="Arial"/>
          <w:sz w:val="24"/>
          <w:szCs w:val="24"/>
        </w:rPr>
      </w:pPr>
    </w:p>
    <w:p>
      <w:pPr>
        <w:tabs>
          <w:tab w:val="left" w:pos="5103"/>
        </w:tabs>
        <w:jc w:val="center"/>
        <w:rPr>
          <w:rFonts w:ascii="Cambria" w:eastAsia="Arial" w:hAnsi="Cambria" w:cs="Arial"/>
          <w:sz w:val="24"/>
          <w:szCs w:val="24"/>
        </w:rPr>
      </w:pPr>
      <w:r>
        <w:rPr>
          <w:rFonts w:ascii="Cambria" w:eastAsia="Arial" w:hAnsi="Cambria" w:cs="Arial"/>
          <w:sz w:val="24"/>
          <w:szCs w:val="24"/>
        </w:rPr>
        <w:t>Miraíma/CE, 15</w:t>
      </w:r>
      <w:bookmarkStart w:id="40" w:name="_GoBack"/>
      <w:bookmarkEnd w:id="40"/>
      <w:r>
        <w:rPr>
          <w:rFonts w:ascii="Cambria" w:eastAsia="Arial" w:hAnsi="Cambria" w:cs="Arial"/>
          <w:sz w:val="24"/>
          <w:szCs w:val="24"/>
        </w:rPr>
        <w:t xml:space="preserve"> de Maio de 2026.</w:t>
      </w:r>
    </w:p>
    <w:p>
      <w:pPr>
        <w:tabs>
          <w:tab w:val="left" w:pos="5103"/>
        </w:tabs>
        <w:jc w:val="center"/>
        <w:rPr>
          <w:rFonts w:ascii="Cambria" w:eastAsia="Arial" w:hAnsi="Cambria" w:cs="Arial"/>
          <w:sz w:val="24"/>
          <w:szCs w:val="24"/>
        </w:rPr>
      </w:pPr>
    </w:p>
    <w:p>
      <w:pPr>
        <w:tabs>
          <w:tab w:val="left" w:pos="5103"/>
        </w:tabs>
        <w:jc w:val="center"/>
        <w:rPr>
          <w:rFonts w:ascii="Cambria" w:eastAsia="Arial" w:hAnsi="Cambria" w:cs="Arial"/>
          <w:sz w:val="24"/>
          <w:szCs w:val="24"/>
        </w:rPr>
      </w:pPr>
    </w:p>
    <w:p>
      <w:pPr>
        <w:tabs>
          <w:tab w:val="left" w:pos="5103"/>
        </w:tabs>
        <w:rPr>
          <w:rFonts w:ascii="Cambria" w:eastAsia="Arial" w:hAnsi="Cambria" w:cs="Arial"/>
          <w:b/>
          <w:sz w:val="24"/>
          <w:szCs w:val="24"/>
        </w:rPr>
      </w:pPr>
    </w:p>
    <w:p>
      <w:pPr>
        <w:tabs>
          <w:tab w:val="left" w:pos="5103"/>
        </w:tabs>
        <w:jc w:val="center"/>
        <w:rPr>
          <w:rFonts w:ascii="Cambria" w:hAnsi="Cambria"/>
          <w:b/>
          <w:sz w:val="24"/>
          <w:szCs w:val="24"/>
        </w:rPr>
      </w:pPr>
      <w:r>
        <w:rPr>
          <w:rFonts w:ascii="Cambria" w:hAnsi="Cambria"/>
          <w:b/>
          <w:bCs/>
          <w:sz w:val="24"/>
          <w:szCs w:val="24"/>
        </w:rPr>
        <w:t>ANTÔNIO ROBSON ALVES DOS SANTOS</w:t>
      </w:r>
    </w:p>
    <w:p>
      <w:pPr>
        <w:tabs>
          <w:tab w:val="left" w:pos="5103"/>
        </w:tabs>
        <w:jc w:val="center"/>
        <w:rPr>
          <w:rFonts w:ascii="Cambria" w:hAnsi="Cambria" w:cstheme="majorHAnsi"/>
          <w:bCs/>
          <w:sz w:val="24"/>
          <w:szCs w:val="24"/>
        </w:rPr>
      </w:pPr>
      <w:r>
        <w:rPr>
          <w:rFonts w:ascii="Cambria" w:eastAsia="Times New Roman" w:hAnsi="Cambria"/>
          <w:sz w:val="24"/>
          <w:szCs w:val="24"/>
        </w:rPr>
        <w:t>Pregoeiro do município de Miraíma/CE</w:t>
      </w:r>
    </w:p>
    <w:p>
      <w:pPr>
        <w:tabs>
          <w:tab w:val="left" w:pos="5103"/>
        </w:tabs>
        <w:jc w:val="center"/>
        <w:rPr>
          <w:rFonts w:ascii="Cambria" w:eastAsia="Arial" w:hAnsi="Cambria" w:cs="Arial"/>
          <w:bCs/>
          <w:sz w:val="24"/>
          <w:szCs w:val="24"/>
        </w:rPr>
      </w:pPr>
      <w:r>
        <w:rPr>
          <w:rFonts w:ascii="Cambria" w:eastAsia="Arial" w:hAnsi="Cambria" w:cs="Arial"/>
          <w:bCs/>
          <w:sz w:val="24"/>
          <w:szCs w:val="24"/>
        </w:rPr>
        <w:br w:type="page"/>
      </w:r>
    </w:p>
    <w:p>
      <w:pPr>
        <w:pStyle w:val="Ttulo1"/>
        <w:shd w:val="clear" w:color="auto" w:fill="000099"/>
        <w:tabs>
          <w:tab w:val="left" w:pos="5103"/>
        </w:tabs>
        <w:jc w:val="center"/>
        <w:rPr>
          <w:rFonts w:ascii="Cambria" w:hAnsi="Cambria"/>
          <w:b/>
          <w:bCs/>
          <w:sz w:val="24"/>
          <w:szCs w:val="24"/>
        </w:rPr>
      </w:pPr>
      <w:bookmarkStart w:id="41" w:name="_heading=h.3fwokq0" w:colFirst="0" w:colLast="0"/>
      <w:bookmarkEnd w:id="41"/>
      <w:r>
        <w:rPr>
          <w:rFonts w:ascii="Cambria" w:hAnsi="Cambria"/>
          <w:b/>
          <w:bCs/>
          <w:color w:val="auto"/>
          <w:sz w:val="24"/>
          <w:szCs w:val="24"/>
          <w:shd w:val="clear" w:color="auto" w:fill="000099"/>
        </w:rPr>
        <w:lastRenderedPageBreak/>
        <w:t>ANEXO I - TERMO DE REFERÊNCIA E SEUS ANEXOS</w:t>
      </w:r>
    </w:p>
    <w:p>
      <w:pPr>
        <w:tabs>
          <w:tab w:val="left" w:pos="284"/>
          <w:tab w:val="left" w:pos="2525"/>
          <w:tab w:val="center" w:pos="4873"/>
          <w:tab w:val="left" w:pos="5103"/>
        </w:tabs>
        <w:jc w:val="right"/>
        <w:rPr>
          <w:rFonts w:ascii="Cambria" w:hAnsi="Cambria" w:cstheme="majorHAnsi"/>
          <w:b/>
          <w:sz w:val="24"/>
          <w:szCs w:val="24"/>
        </w:rPr>
      </w:pPr>
      <w:r>
        <w:rPr>
          <w:rFonts w:ascii="Cambria" w:hAnsi="Cambria" w:cstheme="majorHAnsi"/>
          <w:b/>
          <w:sz w:val="24"/>
          <w:szCs w:val="24"/>
        </w:rPr>
        <w:t>Nº 2026.04.27.01-TR</w:t>
      </w:r>
    </w:p>
    <w:p>
      <w:pPr>
        <w:tabs>
          <w:tab w:val="left" w:pos="284"/>
          <w:tab w:val="left" w:pos="2525"/>
          <w:tab w:val="center" w:pos="4873"/>
          <w:tab w:val="left" w:pos="5103"/>
        </w:tabs>
        <w:jc w:val="right"/>
        <w:rPr>
          <w:rFonts w:ascii="Cambria" w:hAnsi="Cambria" w:cstheme="majorHAnsi"/>
          <w:b/>
          <w:sz w:val="24"/>
          <w:szCs w:val="24"/>
        </w:rPr>
      </w:pP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jc w:val="both"/>
        <w:rPr>
          <w:rFonts w:ascii="Cambria" w:hAnsi="Cambria" w:cstheme="majorHAnsi"/>
          <w:b/>
          <w:sz w:val="24"/>
          <w:szCs w:val="24"/>
        </w:rPr>
      </w:pPr>
      <w:r>
        <w:rPr>
          <w:rFonts w:ascii="Cambria" w:hAnsi="Cambria" w:cstheme="majorHAnsi"/>
          <w:b/>
          <w:sz w:val="24"/>
          <w:szCs w:val="24"/>
        </w:rPr>
        <w:t>1. INTRODUÇÃO</w:t>
      </w:r>
    </w:p>
    <w:p>
      <w:pPr>
        <w:tabs>
          <w:tab w:val="left" w:pos="284"/>
          <w:tab w:val="left" w:pos="2525"/>
          <w:tab w:val="center" w:pos="4873"/>
          <w:tab w:val="left" w:pos="5103"/>
        </w:tabs>
        <w:jc w:val="both"/>
        <w:rPr>
          <w:rFonts w:ascii="Cambria" w:hAnsi="Cambria" w:cstheme="majorHAnsi"/>
          <w:b/>
          <w:sz w:val="24"/>
          <w:szCs w:val="24"/>
        </w:rPr>
      </w:pPr>
      <w:r>
        <w:rPr>
          <w:rFonts w:ascii="Cambria" w:hAnsi="Cambria" w:cstheme="majorHAnsi"/>
          <w:b/>
          <w:sz w:val="24"/>
          <w:szCs w:val="24"/>
        </w:rPr>
        <w:t xml:space="preserve">1.1. Objetivo </w:t>
      </w:r>
    </w:p>
    <w:p>
      <w:pPr>
        <w:tabs>
          <w:tab w:val="left" w:pos="284"/>
          <w:tab w:val="left" w:pos="2525"/>
          <w:tab w:val="center" w:pos="4873"/>
          <w:tab w:val="left" w:pos="5103"/>
        </w:tabs>
        <w:jc w:val="both"/>
        <w:rPr>
          <w:rFonts w:ascii="Cambria" w:hAnsi="Cambria" w:cstheme="majorHAnsi"/>
          <w:bCs/>
          <w:sz w:val="24"/>
          <w:szCs w:val="24"/>
        </w:rPr>
      </w:pPr>
      <w:r>
        <w:rPr>
          <w:rFonts w:ascii="Cambria" w:hAnsi="Cambria" w:cstheme="majorHAnsi"/>
          <w:bCs/>
          <w:sz w:val="24"/>
          <w:szCs w:val="24"/>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284"/>
          <w:tab w:val="left" w:pos="2525"/>
          <w:tab w:val="center" w:pos="4873"/>
          <w:tab w:val="left" w:pos="5103"/>
        </w:tabs>
        <w:jc w:val="both"/>
        <w:rPr>
          <w:rFonts w:ascii="Cambria" w:hAnsi="Cambria" w:cstheme="majorHAnsi"/>
          <w:bCs/>
          <w:sz w:val="24"/>
          <w:szCs w:val="24"/>
        </w:rPr>
      </w:pPr>
      <w:r>
        <w:rPr>
          <w:rFonts w:ascii="Cambria" w:hAnsi="Cambria" w:cstheme="majorHAnsi"/>
          <w:bCs/>
          <w:sz w:val="24"/>
          <w:szCs w:val="24"/>
        </w:rPr>
        <w:t xml:space="preserve">2.2. Integram o presente Termo de Referência como se nele estivessem escritos, os seguintes documentos: </w:t>
      </w:r>
    </w:p>
    <w:p>
      <w:pPr>
        <w:pStyle w:val="PargrafodaLista"/>
        <w:numPr>
          <w:ilvl w:val="0"/>
          <w:numId w:val="30"/>
        </w:numPr>
        <w:tabs>
          <w:tab w:val="left" w:pos="284"/>
          <w:tab w:val="left" w:pos="2525"/>
          <w:tab w:val="center" w:pos="4873"/>
          <w:tab w:val="left" w:pos="5103"/>
        </w:tabs>
        <w:spacing w:after="200" w:line="276" w:lineRule="auto"/>
        <w:jc w:val="both"/>
        <w:rPr>
          <w:rFonts w:ascii="Cambria" w:hAnsi="Cambria" w:cstheme="majorHAnsi"/>
          <w:bCs/>
          <w:sz w:val="24"/>
          <w:szCs w:val="24"/>
        </w:rPr>
      </w:pPr>
      <w:r>
        <w:rPr>
          <w:rFonts w:ascii="Cambria" w:hAnsi="Cambria" w:cstheme="majorHAnsi"/>
          <w:bCs/>
          <w:sz w:val="24"/>
          <w:szCs w:val="24"/>
        </w:rPr>
        <w:t xml:space="preserve">Definição dos Lotes/Itens e especificações dos produtos; </w:t>
      </w:r>
    </w:p>
    <w:p>
      <w:pPr>
        <w:pStyle w:val="PargrafodaLista"/>
        <w:numPr>
          <w:ilvl w:val="0"/>
          <w:numId w:val="30"/>
        </w:numPr>
        <w:tabs>
          <w:tab w:val="left" w:pos="284"/>
          <w:tab w:val="left" w:pos="2525"/>
          <w:tab w:val="center" w:pos="4873"/>
          <w:tab w:val="left" w:pos="5103"/>
        </w:tabs>
        <w:spacing w:after="200" w:line="276" w:lineRule="auto"/>
        <w:jc w:val="both"/>
        <w:rPr>
          <w:rFonts w:ascii="Cambria" w:hAnsi="Cambria" w:cstheme="majorHAnsi"/>
          <w:bCs/>
          <w:sz w:val="24"/>
          <w:szCs w:val="24"/>
        </w:rPr>
      </w:pPr>
      <w:r>
        <w:rPr>
          <w:rFonts w:ascii="Cambria" w:hAnsi="Cambria" w:cstheme="majorHAnsi"/>
          <w:bCs/>
          <w:sz w:val="24"/>
          <w:szCs w:val="24"/>
        </w:rPr>
        <w:t>Relação dos documentos de habilitação para o procedimento; e</w:t>
      </w:r>
    </w:p>
    <w:p>
      <w:pPr>
        <w:pStyle w:val="PargrafodaLista"/>
        <w:numPr>
          <w:ilvl w:val="0"/>
          <w:numId w:val="30"/>
        </w:numPr>
        <w:tabs>
          <w:tab w:val="left" w:pos="284"/>
          <w:tab w:val="left" w:pos="2525"/>
          <w:tab w:val="center" w:pos="4873"/>
          <w:tab w:val="left" w:pos="5103"/>
        </w:tabs>
        <w:spacing w:after="200" w:line="276" w:lineRule="auto"/>
        <w:jc w:val="both"/>
        <w:rPr>
          <w:rFonts w:ascii="Cambria" w:hAnsi="Cambria" w:cstheme="majorHAnsi"/>
          <w:bCs/>
          <w:sz w:val="24"/>
          <w:szCs w:val="24"/>
        </w:rPr>
      </w:pPr>
      <w:r>
        <w:rPr>
          <w:rFonts w:ascii="Cambria" w:hAnsi="Cambria" w:cstheme="majorHAnsi"/>
          <w:bCs/>
          <w:sz w:val="24"/>
          <w:szCs w:val="24"/>
        </w:rPr>
        <w:t>Estudo Técnico Preliminar – ETP.</w:t>
      </w:r>
    </w:p>
    <w:p>
      <w:pPr>
        <w:pStyle w:val="PargrafodaLista"/>
        <w:tabs>
          <w:tab w:val="left" w:pos="284"/>
          <w:tab w:val="left" w:pos="2525"/>
          <w:tab w:val="center" w:pos="4873"/>
          <w:tab w:val="left" w:pos="5103"/>
        </w:tabs>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INFORMAÇÕES PRIMÁRIAS, EXPOSIÇÃO DE NECESSIDADE, DETALHAMENTO E PLANEJAMENTO DO OBJETO.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sz w:val="24"/>
          <w:szCs w:val="24"/>
        </w:rPr>
      </w:pPr>
      <w:r>
        <w:rPr>
          <w:rFonts w:ascii="Cambria" w:hAnsi="Cambria" w:cstheme="majorHAnsi"/>
          <w:b/>
          <w:sz w:val="24"/>
          <w:szCs w:val="24"/>
        </w:rPr>
        <w:t>Órgão:</w:t>
      </w:r>
    </w:p>
    <w:p>
      <w:pPr>
        <w:pStyle w:val="PargrafodaLista"/>
        <w:tabs>
          <w:tab w:val="left" w:pos="426"/>
          <w:tab w:val="left" w:pos="2525"/>
          <w:tab w:val="center" w:pos="4873"/>
          <w:tab w:val="left" w:pos="5103"/>
        </w:tabs>
        <w:ind w:left="0"/>
        <w:jc w:val="both"/>
        <w:rPr>
          <w:rFonts w:ascii="Cambria" w:hAnsi="Cambria" w:cstheme="majorHAnsi"/>
          <w:b/>
          <w:bCs/>
          <w:sz w:val="24"/>
          <w:szCs w:val="24"/>
        </w:rPr>
      </w:pPr>
      <w:r>
        <w:rPr>
          <w:rFonts w:ascii="Cambria" w:hAnsi="Cambria" w:cstheme="majorHAnsi"/>
          <w:b/>
          <w:bCs/>
          <w:sz w:val="24"/>
          <w:szCs w:val="24"/>
        </w:rPr>
        <w:t>SECRETARIA DE INFRAESTRUTURA E SERVIÇOS PÚBLICOS DE MIRAÍMA/CE</w:t>
      </w:r>
    </w:p>
    <w:p>
      <w:pPr>
        <w:pStyle w:val="PargrafodaLista"/>
        <w:tabs>
          <w:tab w:val="left" w:pos="426"/>
          <w:tab w:val="left" w:pos="2525"/>
          <w:tab w:val="center" w:pos="4873"/>
          <w:tab w:val="left" w:pos="5103"/>
        </w:tabs>
        <w:ind w:left="0"/>
        <w:jc w:val="both"/>
        <w:rPr>
          <w:rFonts w:ascii="Cambria" w:hAnsi="Cambria" w:cstheme="majorHAnsi"/>
          <w:sz w:val="24"/>
          <w:szCs w:val="24"/>
        </w:rPr>
      </w:pP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Objeto:</w:t>
      </w:r>
    </w:p>
    <w:p>
      <w:pPr>
        <w:pStyle w:val="PargrafodaLista"/>
        <w:tabs>
          <w:tab w:val="left" w:pos="426"/>
          <w:tab w:val="left" w:pos="2525"/>
          <w:tab w:val="center" w:pos="4873"/>
          <w:tab w:val="left" w:pos="5103"/>
        </w:tabs>
        <w:ind w:left="0"/>
        <w:jc w:val="both"/>
        <w:rPr>
          <w:rFonts w:ascii="Cambria" w:hAnsi="Cambria" w:cstheme="majorHAnsi"/>
          <w:sz w:val="24"/>
          <w:szCs w:val="24"/>
        </w:rPr>
      </w:pPr>
      <w:r>
        <w:rPr>
          <w:rFonts w:ascii="Cambria" w:hAnsi="Cambria" w:cstheme="majorHAnsi"/>
          <w:sz w:val="24"/>
          <w:szCs w:val="24"/>
        </w:rPr>
        <w:t>AQUISIÇÃO DE EQUIPAMENTOS PARA ACADEMIA AO AR LIVRE, DE INTERESSE DA SECRETARIA DE INFRAESTRUTURA E SERVIÇOS PÚBLICOS DE MIRAÍMA/CE</w:t>
      </w:r>
    </w:p>
    <w:p>
      <w:pPr>
        <w:pStyle w:val="PargrafodaLista"/>
        <w:tabs>
          <w:tab w:val="left" w:pos="426"/>
          <w:tab w:val="left" w:pos="2525"/>
          <w:tab w:val="center" w:pos="4873"/>
          <w:tab w:val="left" w:pos="5103"/>
        </w:tabs>
        <w:ind w:left="0"/>
        <w:jc w:val="both"/>
        <w:rPr>
          <w:rFonts w:ascii="Cambria" w:hAnsi="Cambria" w:cstheme="majorHAnsi"/>
          <w:b/>
          <w:sz w:val="24"/>
          <w:szCs w:val="24"/>
        </w:rPr>
      </w:pP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Justificativa:</w:t>
      </w:r>
    </w:p>
    <w:p>
      <w:pPr>
        <w:tabs>
          <w:tab w:val="left" w:pos="284"/>
          <w:tab w:val="left" w:pos="2525"/>
          <w:tab w:val="center" w:pos="4873"/>
          <w:tab w:val="left" w:pos="5103"/>
        </w:tabs>
        <w:jc w:val="both"/>
        <w:rPr>
          <w:rFonts w:ascii="Cambria" w:hAnsi="Cambria" w:cstheme="majorHAnsi"/>
          <w:sz w:val="24"/>
          <w:szCs w:val="24"/>
        </w:rPr>
      </w:pPr>
      <w:r>
        <w:rPr>
          <w:rFonts w:ascii="Cambria" w:hAnsi="Cambria" w:cstheme="majorHAnsi"/>
          <w:sz w:val="24"/>
          <w:szCs w:val="24"/>
        </w:rPr>
        <w:t>A justificativa da necessidade do objeto e de seus quantitativos encontra-se pormenorizada em tópico específico constante dos Estudos Técnicos Preliminares - ETP, anexo ao presente documento.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Do Plano de Contratação Anual - PCA:</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bookmarkStart w:id="42" w:name="_Hlk136867496"/>
      <w:r>
        <w:rPr>
          <w:rFonts w:ascii="Cambria" w:hAnsi="Cambria" w:cstheme="majorHAnsi"/>
          <w:sz w:val="24"/>
          <w:szCs w:val="24"/>
        </w:rPr>
        <w:t xml:space="preserve">A presente contratação está prevista no Plano de Contratações Anual (PCA) 2026 do Município de Miraíma/CE, sob o ID 346, atendendo às necessidades da </w:t>
      </w:r>
      <w:r>
        <w:rPr>
          <w:rFonts w:ascii="Cambria" w:hAnsi="Cambria" w:cstheme="majorHAnsi"/>
          <w:b/>
          <w:bCs/>
          <w:sz w:val="24"/>
          <w:szCs w:val="24"/>
        </w:rPr>
        <w:t>SECRETARIA DE INFRAESTRUTURA E SERVIÇOS PÚBLICOS DE MIRAÍMA/CE</w:t>
      </w:r>
      <w:r>
        <w:rPr>
          <w:rFonts w:ascii="Cambria" w:hAnsi="Cambria" w:cstheme="majorHAnsi"/>
          <w:sz w:val="24"/>
          <w:szCs w:val="24"/>
        </w:rPr>
        <w:t xml:space="preserve">, conforme identificado pela própria Secretaria. </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 xml:space="preserve">Descrição da solução como um todo </w:t>
      </w:r>
      <w:bookmarkEnd w:id="42"/>
      <w:r>
        <w:rPr>
          <w:rFonts w:ascii="Cambria" w:hAnsi="Cambria" w:cstheme="majorHAnsi"/>
          <w:b/>
          <w:sz w:val="24"/>
          <w:szCs w:val="24"/>
        </w:rPr>
        <w:t>considerado o ciclo de vida do objeto e especificação do produto:</w:t>
      </w:r>
    </w:p>
    <w:p>
      <w:pPr>
        <w:tabs>
          <w:tab w:val="left" w:pos="284"/>
          <w:tab w:val="left" w:pos="2525"/>
          <w:tab w:val="center" w:pos="4873"/>
          <w:tab w:val="left" w:pos="5103"/>
        </w:tabs>
        <w:jc w:val="both"/>
        <w:rPr>
          <w:rFonts w:ascii="Cambria" w:hAnsi="Cambria" w:cstheme="majorHAnsi"/>
          <w:sz w:val="24"/>
          <w:szCs w:val="24"/>
        </w:rPr>
      </w:pPr>
      <w:r>
        <w:rPr>
          <w:rFonts w:ascii="Cambria" w:hAnsi="Cambria" w:cstheme="majorHAnsi"/>
          <w:sz w:val="24"/>
          <w:szCs w:val="24"/>
        </w:rPr>
        <w:t>A descrição da solução como um todo encontra-se pormenorizada em tópico específico constante dos Estudos Técnicos Preliminares - ETP, anexo ao presente procedimento administrativo.</w:t>
      </w: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DA CLASSIFICAÇÃO ORÇAMENTÁRIA, DOS RECURSOS FINANCEIROS E ESTIMATIVA DA DESPESA</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presente contratação será classificada na seguinte dotação orçamentária.</w:t>
      </w:r>
    </w:p>
    <w:p>
      <w:pPr>
        <w:pStyle w:val="PargrafodaLista"/>
        <w:tabs>
          <w:tab w:val="left" w:pos="426"/>
          <w:tab w:val="left" w:pos="2525"/>
          <w:tab w:val="center" w:pos="4873"/>
          <w:tab w:val="left" w:pos="5103"/>
        </w:tabs>
        <w:ind w:left="0"/>
        <w:jc w:val="both"/>
        <w:rPr>
          <w:rFonts w:ascii="Cambria" w:hAnsi="Cambria" w:cstheme="majorHAnsi"/>
          <w:b/>
          <w:sz w:val="24"/>
          <w:szCs w:val="24"/>
        </w:rPr>
      </w:pPr>
      <w:r>
        <w:rPr>
          <w:rFonts w:ascii="Cambria" w:hAnsi="Cambria" w:cstheme="majorHAnsi"/>
          <w:b/>
          <w:sz w:val="24"/>
          <w:szCs w:val="24"/>
        </w:rPr>
        <w:t xml:space="preserve">SECRETARIA DE INFRAESTRUTURA E SERVIÇOS PÚBLICOS DE MIRAÍMA/CE: </w:t>
      </w:r>
    </w:p>
    <w:p>
      <w:pPr>
        <w:tabs>
          <w:tab w:val="left" w:pos="284"/>
          <w:tab w:val="left" w:pos="2525"/>
          <w:tab w:val="center" w:pos="4873"/>
          <w:tab w:val="left" w:pos="5103"/>
        </w:tabs>
        <w:jc w:val="both"/>
        <w:rPr>
          <w:rFonts w:ascii="Cambria" w:hAnsi="Cambria" w:cstheme="majorHAnsi"/>
          <w:bCs/>
          <w:sz w:val="24"/>
          <w:szCs w:val="24"/>
        </w:rPr>
      </w:pPr>
    </w:p>
    <w:p>
      <w:pPr>
        <w:pStyle w:val="PargrafodaLista"/>
        <w:numPr>
          <w:ilvl w:val="1"/>
          <w:numId w:val="31"/>
        </w:numPr>
        <w:tabs>
          <w:tab w:val="left" w:pos="284"/>
          <w:tab w:val="left" w:pos="426"/>
          <w:tab w:val="left" w:pos="2525"/>
          <w:tab w:val="center" w:pos="4873"/>
          <w:tab w:val="left" w:pos="5103"/>
        </w:tabs>
        <w:spacing w:line="276" w:lineRule="auto"/>
        <w:ind w:left="0" w:firstLine="0"/>
        <w:jc w:val="both"/>
        <w:rPr>
          <w:rFonts w:ascii="Cambria" w:hAnsi="Cambria" w:cstheme="majorHAnsi"/>
          <w:sz w:val="24"/>
          <w:szCs w:val="24"/>
        </w:rPr>
      </w:pPr>
      <w:r>
        <w:rPr>
          <w:rFonts w:ascii="Cambria" w:hAnsi="Cambria" w:cstheme="majorHAnsi"/>
          <w:b/>
          <w:sz w:val="24"/>
          <w:szCs w:val="24"/>
        </w:rPr>
        <w:t>Valor global estimado:</w:t>
      </w:r>
      <w:r>
        <w:rPr>
          <w:rFonts w:ascii="Cambria" w:hAnsi="Cambria"/>
        </w:rPr>
        <w:t xml:space="preserve"> </w:t>
      </w:r>
      <w:r>
        <w:rPr>
          <w:rFonts w:ascii="Cambria" w:eastAsia="Times New Roman" w:hAnsi="Cambria" w:cstheme="majorHAnsi"/>
          <w:b/>
          <w:bCs/>
          <w:color w:val="000000"/>
          <w:sz w:val="24"/>
          <w:szCs w:val="24"/>
        </w:rPr>
        <w:t>R$ 381.322,00 (Trezentos e Oitenta e Um Mil, Trezentos e Vinte e Dois Reais)</w:t>
      </w:r>
      <w:r>
        <w:rPr>
          <w:rFonts w:ascii="Cambria" w:eastAsia="Times New Roman" w:hAnsi="Cambria" w:cstheme="majorHAnsi"/>
          <w:color w:val="000000"/>
          <w:sz w:val="24"/>
          <w:szCs w:val="24"/>
        </w:rPr>
        <w:t>.</w:t>
      </w:r>
    </w:p>
    <w:p>
      <w:pPr>
        <w:pStyle w:val="PargrafodaLista"/>
        <w:tabs>
          <w:tab w:val="left" w:pos="284"/>
          <w:tab w:val="left" w:pos="426"/>
          <w:tab w:val="left" w:pos="2525"/>
          <w:tab w:val="center" w:pos="4873"/>
          <w:tab w:val="left" w:pos="5103"/>
        </w:tabs>
        <w:ind w:left="0"/>
        <w:jc w:val="both"/>
        <w:rPr>
          <w:rFonts w:ascii="Cambria" w:hAnsi="Cambria" w:cstheme="majorHAnsi"/>
          <w:sz w:val="24"/>
          <w:szCs w:val="24"/>
        </w:rPr>
      </w:pP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Metodologia do orçamento:</w:t>
      </w:r>
    </w:p>
    <w:p>
      <w:pPr>
        <w:tabs>
          <w:tab w:val="left" w:pos="284"/>
          <w:tab w:val="left" w:pos="5103"/>
        </w:tabs>
        <w:jc w:val="both"/>
        <w:rPr>
          <w:rFonts w:ascii="Cambria" w:hAnsi="Cambria" w:cstheme="majorHAnsi"/>
          <w:b/>
          <w:sz w:val="24"/>
          <w:szCs w:val="24"/>
        </w:rPr>
      </w:pPr>
      <w:r>
        <w:rPr>
          <w:rFonts w:ascii="Cambria" w:hAnsi="Cambria" w:cstheme="majorHAnsi"/>
          <w:sz w:val="24"/>
          <w:szCs w:val="24"/>
        </w:rPr>
        <w:t>Orçamento baseado em pesquisas de preços realizadas pelo Setor de Compras do município, conforme Mapa comparativo de preços em anexo aos autos.</w:t>
      </w:r>
    </w:p>
    <w:p>
      <w:pPr>
        <w:tabs>
          <w:tab w:val="left" w:pos="284"/>
          <w:tab w:val="left" w:pos="5103"/>
        </w:tabs>
        <w:jc w:val="both"/>
        <w:rPr>
          <w:rFonts w:ascii="Cambria" w:hAnsi="Cambria" w:cstheme="majorHAnsi"/>
          <w:b/>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REQUISITOS GERAIS DA CONTRATAÇÃO.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Sustentabilidade:</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bookmarkStart w:id="43" w:name="_Hlk155790712"/>
      <w:r>
        <w:rPr>
          <w:rFonts w:ascii="Cambria" w:hAnsi="Cambria" w:cstheme="majorHAnsi"/>
          <w:bCs/>
          <w:sz w:val="24"/>
          <w:szCs w:val="24"/>
        </w:rPr>
        <w:t>Os critérios de sustentabilidade serão aqueles que, eventualmente, estarão descritos na descrição da especificação dos itens do objeto, que se baseiam no Guia Nacional de Contratações Sustentáveis. No mais, o município ainda não dispõe de norma própria correspondente a tal temática, limitando-se tais exigências a construção das especificações, quando for o caso e ou as rotinas de fiscalização e padrões de desempenho, as quais analisarão tais requisitos, quando exigidos.</w:t>
      </w:r>
    </w:p>
    <w:bookmarkEnd w:id="43"/>
    <w:p>
      <w:pPr>
        <w:pStyle w:val="PargrafodaLista"/>
        <w:tabs>
          <w:tab w:val="left" w:pos="426"/>
          <w:tab w:val="left" w:pos="2525"/>
          <w:tab w:val="center" w:pos="4873"/>
          <w:tab w:val="left" w:pos="5103"/>
        </w:tabs>
        <w:ind w:left="1428"/>
        <w:jc w:val="both"/>
        <w:rPr>
          <w:rFonts w:ascii="Cambria" w:hAnsi="Cambria" w:cstheme="majorHAnsi"/>
          <w:b/>
          <w:sz w:val="24"/>
          <w:szCs w:val="24"/>
        </w:rPr>
      </w:pP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Indicação de marcas ou modelo:</w:t>
      </w:r>
    </w:p>
    <w:p>
      <w:pPr>
        <w:tabs>
          <w:tab w:val="left" w:pos="709"/>
          <w:tab w:val="left" w:pos="2525"/>
          <w:tab w:val="center" w:pos="4873"/>
          <w:tab w:val="left" w:pos="5103"/>
        </w:tabs>
        <w:jc w:val="both"/>
        <w:rPr>
          <w:rFonts w:ascii="Cambria" w:hAnsi="Cambria" w:cstheme="majorHAnsi"/>
          <w:bCs/>
          <w:sz w:val="24"/>
          <w:szCs w:val="24"/>
        </w:rPr>
      </w:pPr>
      <w:r>
        <w:rPr>
          <w:rFonts w:ascii="Cambria" w:hAnsi="Cambria" w:cstheme="majorHAnsi"/>
          <w:bCs/>
          <w:sz w:val="24"/>
          <w:szCs w:val="24"/>
        </w:rPr>
        <w:t>Na presente solicitação, não se fez necessária a exigência de marca e modelo dos itens pré-definidos, qualificados ou aprovados.</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 xml:space="preserve">Da vedação de utilização de marca/produto </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Não se aplica.</w:t>
      </w:r>
    </w:p>
    <w:p>
      <w:pPr>
        <w:pStyle w:val="PargrafodaLista"/>
        <w:tabs>
          <w:tab w:val="left" w:pos="567"/>
          <w:tab w:val="left" w:pos="2525"/>
          <w:tab w:val="center" w:pos="4873"/>
          <w:tab w:val="left" w:pos="5103"/>
        </w:tabs>
        <w:ind w:left="0"/>
        <w:jc w:val="both"/>
        <w:rPr>
          <w:rFonts w:ascii="Cambria" w:hAnsi="Cambria" w:cstheme="majorHAnsi"/>
          <w:bCs/>
          <w:sz w:val="24"/>
          <w:szCs w:val="24"/>
          <w:highlight w:val="yellow"/>
        </w:rPr>
      </w:pP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Garantia da contratação: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Não haverá exigência da garantia da contratação consoante os dispostos nos artigos 96 e seguintes da Lei nº 14.133, de 2021, bem como, pelas razões constantes do Estudo Técnico Preliminar - ETP.</w:t>
      </w:r>
    </w:p>
    <w:p>
      <w:pPr>
        <w:pStyle w:val="PargrafodaLista"/>
        <w:tabs>
          <w:tab w:val="left" w:pos="567"/>
          <w:tab w:val="left" w:pos="2525"/>
          <w:tab w:val="center" w:pos="4873"/>
          <w:tab w:val="left" w:pos="5103"/>
        </w:tabs>
        <w:ind w:left="0"/>
        <w:jc w:val="both"/>
        <w:rPr>
          <w:rFonts w:ascii="Cambria" w:hAnsi="Cambria" w:cstheme="majorHAnsi"/>
          <w:bCs/>
          <w:sz w:val="24"/>
          <w:szCs w:val="24"/>
        </w:rPr>
      </w:pPr>
    </w:p>
    <w:p>
      <w:pPr>
        <w:tabs>
          <w:tab w:val="left" w:pos="5103"/>
        </w:tabs>
        <w:rPr>
          <w:rFonts w:ascii="Cambria" w:hAnsi="Cambria" w:cstheme="majorHAnsi"/>
          <w:b/>
          <w:sz w:val="24"/>
          <w:szCs w:val="24"/>
          <w:lang w:eastAsia="en-US"/>
        </w:rPr>
      </w:pPr>
      <w:r>
        <w:rPr>
          <w:rFonts w:ascii="Cambria" w:hAnsi="Cambria" w:cstheme="majorHAnsi"/>
          <w:b/>
          <w:sz w:val="24"/>
          <w:szCs w:val="24"/>
        </w:rPr>
        <w:br w:type="page"/>
      </w:r>
    </w:p>
    <w:p>
      <w:pPr>
        <w:pStyle w:val="PargrafodaLista"/>
        <w:numPr>
          <w:ilvl w:val="1"/>
          <w:numId w:val="31"/>
        </w:numPr>
        <w:tabs>
          <w:tab w:val="center" w:pos="426"/>
          <w:tab w:val="left" w:pos="5103"/>
        </w:tabs>
        <w:spacing w:line="276" w:lineRule="auto"/>
        <w:jc w:val="both"/>
        <w:rPr>
          <w:rFonts w:ascii="Cambria" w:hAnsi="Cambria" w:cstheme="majorHAnsi"/>
          <w:b/>
          <w:sz w:val="24"/>
          <w:szCs w:val="24"/>
        </w:rPr>
      </w:pPr>
      <w:r>
        <w:rPr>
          <w:rFonts w:ascii="Cambria" w:hAnsi="Cambria" w:cstheme="majorHAnsi"/>
          <w:b/>
          <w:sz w:val="24"/>
          <w:szCs w:val="24"/>
        </w:rPr>
        <w:lastRenderedPageBreak/>
        <w:t>Justificativa para a não divisão de cotas de ME, EPP e MEI.</w:t>
      </w:r>
    </w:p>
    <w:p>
      <w:pPr>
        <w:tabs>
          <w:tab w:val="left" w:pos="5103"/>
        </w:tabs>
        <w:ind w:firstLine="851"/>
        <w:jc w:val="both"/>
        <w:rPr>
          <w:rFonts w:ascii="Cambria" w:hAnsi="Cambria" w:cstheme="majorHAnsi"/>
          <w:bCs/>
          <w:sz w:val="24"/>
          <w:szCs w:val="24"/>
        </w:rPr>
      </w:pPr>
      <w:r>
        <w:rPr>
          <w:rFonts w:ascii="Cambria" w:hAnsi="Cambria" w:cstheme="majorHAnsi"/>
          <w:bCs/>
          <w:sz w:val="24"/>
          <w:szCs w:val="24"/>
        </w:rPr>
        <w:t>A não divisão do objeto em cotas destinadas exclusivamente à participação de Microempresas (ME), Empresas de Pequeno Porte (EPP) e Microempreendedores Individuais (MEI) justifica-se em razão das características específicas da contratação.</w:t>
      </w:r>
    </w:p>
    <w:p>
      <w:pPr>
        <w:tabs>
          <w:tab w:val="left" w:pos="5103"/>
        </w:tabs>
        <w:ind w:firstLine="851"/>
        <w:jc w:val="both"/>
        <w:rPr>
          <w:rFonts w:ascii="Cambria" w:hAnsi="Cambria" w:cstheme="majorHAnsi"/>
          <w:bCs/>
          <w:sz w:val="24"/>
          <w:szCs w:val="24"/>
        </w:rPr>
      </w:pPr>
      <w:r>
        <w:rPr>
          <w:rFonts w:ascii="Cambria" w:hAnsi="Cambria" w:cstheme="majorHAnsi"/>
          <w:bCs/>
          <w:sz w:val="24"/>
          <w:szCs w:val="24"/>
        </w:rPr>
        <w:t>O objeto consiste no fornecimento e instalação de equipamentos para academia ao ar livre, cuja execução demanda capacidade técnica, logística e operacional integrada, incluindo fabricação/fornecimento, transporte, montagem e instalação adequada dos equipamentos. Tais atividades são interdependentes e exigem padronização e responsabilidade única sobre a execução, de modo a garantir a qualidade, segurança e durabilidade dos bens adquiridos.</w:t>
      </w:r>
    </w:p>
    <w:p>
      <w:pPr>
        <w:tabs>
          <w:tab w:val="left" w:pos="5103"/>
        </w:tabs>
        <w:ind w:firstLine="851"/>
        <w:jc w:val="both"/>
        <w:rPr>
          <w:rFonts w:ascii="Cambria" w:hAnsi="Cambria" w:cstheme="majorHAnsi"/>
          <w:bCs/>
          <w:sz w:val="24"/>
          <w:szCs w:val="24"/>
        </w:rPr>
      </w:pPr>
      <w:r>
        <w:rPr>
          <w:rFonts w:ascii="Cambria" w:hAnsi="Cambria" w:cstheme="majorHAnsi"/>
          <w:bCs/>
          <w:sz w:val="24"/>
          <w:szCs w:val="24"/>
        </w:rPr>
        <w:t>A eventual divisão em cotas poderia comprometer a uniformidade dos equipamentos, gerar dificuldades na compatibilização técnica entre diferentes fornecedores, além de dificultar a gestão e fiscalização contratual, especialmente quanto à responsabilização por eventuais falhas ou defeitos na execução.</w:t>
      </w:r>
    </w:p>
    <w:p>
      <w:pPr>
        <w:tabs>
          <w:tab w:val="left" w:pos="5103"/>
        </w:tabs>
        <w:ind w:firstLine="851"/>
        <w:jc w:val="both"/>
        <w:rPr>
          <w:rFonts w:ascii="Cambria" w:hAnsi="Cambria" w:cstheme="majorHAnsi"/>
          <w:bCs/>
          <w:sz w:val="24"/>
          <w:szCs w:val="24"/>
        </w:rPr>
      </w:pPr>
      <w:r>
        <w:rPr>
          <w:rFonts w:ascii="Cambria" w:hAnsi="Cambria" w:cstheme="majorHAnsi"/>
          <w:bCs/>
          <w:sz w:val="24"/>
          <w:szCs w:val="24"/>
        </w:rPr>
        <w:t>Ademais, a divisão do objeto poderia resultar em prejuízo à economicidade, ao afastar ganhos de escala e elevar custos administrativos, contrariando o interesse público.</w:t>
      </w:r>
    </w:p>
    <w:p>
      <w:pPr>
        <w:tabs>
          <w:tab w:val="left" w:pos="5103"/>
        </w:tabs>
        <w:ind w:firstLine="851"/>
        <w:jc w:val="both"/>
        <w:rPr>
          <w:rFonts w:ascii="Cambria" w:hAnsi="Cambria" w:cstheme="majorHAnsi"/>
          <w:bCs/>
          <w:sz w:val="24"/>
          <w:szCs w:val="24"/>
        </w:rPr>
      </w:pPr>
      <w:r>
        <w:rPr>
          <w:rFonts w:ascii="Cambria" w:hAnsi="Cambria" w:cstheme="majorHAnsi"/>
          <w:bCs/>
          <w:sz w:val="24"/>
          <w:szCs w:val="24"/>
        </w:rPr>
        <w:t>Ressalta-se que a não adoção de cotas não impede a participação de ME, EPP e MEI no certame, desde que atendam às exigências estabelecidas, preservando-se, assim, a competitividade e a isonomia entre os licitantes.</w:t>
      </w:r>
    </w:p>
    <w:p>
      <w:pPr>
        <w:tabs>
          <w:tab w:val="left" w:pos="5103"/>
        </w:tabs>
        <w:ind w:firstLine="851"/>
        <w:jc w:val="both"/>
        <w:rPr>
          <w:rFonts w:ascii="Cambria" w:hAnsi="Cambria" w:cstheme="majorHAnsi"/>
          <w:bCs/>
          <w:sz w:val="24"/>
          <w:szCs w:val="24"/>
        </w:rPr>
      </w:pPr>
      <w:r>
        <w:rPr>
          <w:rFonts w:ascii="Cambria" w:hAnsi="Cambria" w:cstheme="majorHAnsi"/>
          <w:bCs/>
          <w:sz w:val="24"/>
          <w:szCs w:val="24"/>
        </w:rPr>
        <w:t>Dessa forma, conclui-se que a não divisão em cotas mostra-se tecnicamente justificada e mais vantajosa para a Administração Pública.</w:t>
      </w:r>
    </w:p>
    <w:p>
      <w:pPr>
        <w:pStyle w:val="PargrafodaLista"/>
        <w:tabs>
          <w:tab w:val="left" w:pos="567"/>
          <w:tab w:val="left" w:pos="2525"/>
          <w:tab w:val="center" w:pos="4873"/>
          <w:tab w:val="left" w:pos="5103"/>
        </w:tabs>
        <w:ind w:left="0"/>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DAS CONDIÇÕES E PRAZOS DE ENTREGA/FORNECIMENTO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Local de entrega do Objeto</w:t>
      </w:r>
    </w:p>
    <w:p>
      <w:pPr>
        <w:pStyle w:val="PargrafodaLista"/>
        <w:numPr>
          <w:ilvl w:val="2"/>
          <w:numId w:val="31"/>
        </w:numPr>
        <w:tabs>
          <w:tab w:val="left" w:pos="567"/>
          <w:tab w:val="left" w:pos="1701"/>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Cs/>
          <w:sz w:val="24"/>
          <w:szCs w:val="24"/>
        </w:rPr>
        <w:t xml:space="preserve"> Os produtos deverão ser entregues em até </w:t>
      </w:r>
      <w:r>
        <w:rPr>
          <w:rFonts w:ascii="Cambria" w:hAnsi="Cambria" w:cstheme="majorHAnsi"/>
          <w:b/>
          <w:sz w:val="24"/>
          <w:szCs w:val="24"/>
        </w:rPr>
        <w:t>30 (TRINTA) DIAS</w:t>
      </w:r>
      <w:r>
        <w:rPr>
          <w:rFonts w:ascii="Cambria" w:hAnsi="Cambria" w:cstheme="majorHAnsi"/>
          <w:bCs/>
          <w:sz w:val="24"/>
          <w:szCs w:val="24"/>
        </w:rPr>
        <w:t xml:space="preserve">, a contar da emissão da </w:t>
      </w:r>
      <w:bookmarkStart w:id="44" w:name="_Hlk155772594"/>
      <w:r>
        <w:rPr>
          <w:rFonts w:ascii="Cambria" w:hAnsi="Cambria" w:cstheme="majorHAnsi"/>
          <w:b/>
          <w:sz w:val="24"/>
          <w:szCs w:val="24"/>
        </w:rPr>
        <w:t>ORDEM DE COMPRA/AUTORIZAÇÃO DE FORNECIMENTO</w:t>
      </w:r>
      <w:bookmarkStart w:id="45" w:name="_Hlk155772600"/>
      <w:r>
        <w:rPr>
          <w:rFonts w:ascii="Cambria" w:hAnsi="Cambria" w:cstheme="majorHAnsi"/>
          <w:b/>
          <w:sz w:val="24"/>
          <w:szCs w:val="24"/>
        </w:rPr>
        <w:t>/NOTA DE EMPENHO</w:t>
      </w:r>
      <w:bookmarkEnd w:id="44"/>
      <w:bookmarkEnd w:id="45"/>
      <w:r>
        <w:rPr>
          <w:rFonts w:ascii="Cambria" w:hAnsi="Cambria" w:cstheme="majorHAnsi"/>
          <w:b/>
          <w:sz w:val="24"/>
          <w:szCs w:val="24"/>
        </w:rPr>
        <w:t>.</w:t>
      </w:r>
    </w:p>
    <w:p>
      <w:pPr>
        <w:pStyle w:val="PargrafodaLista"/>
        <w:numPr>
          <w:ilvl w:val="2"/>
          <w:numId w:val="31"/>
        </w:numPr>
        <w:tabs>
          <w:tab w:val="left" w:pos="567"/>
          <w:tab w:val="left" w:pos="1701"/>
          <w:tab w:val="center" w:pos="4873"/>
          <w:tab w:val="left" w:pos="5103"/>
        </w:tabs>
        <w:spacing w:line="276" w:lineRule="auto"/>
        <w:ind w:left="0" w:firstLine="0"/>
        <w:jc w:val="both"/>
        <w:rPr>
          <w:rFonts w:ascii="Cambria" w:hAnsi="Cambria" w:cstheme="majorHAnsi"/>
          <w:sz w:val="24"/>
          <w:szCs w:val="24"/>
          <w:lang w:val="pt-PT"/>
        </w:rPr>
      </w:pPr>
      <w:r>
        <w:rPr>
          <w:rFonts w:ascii="Cambria" w:hAnsi="Cambria" w:cstheme="majorHAnsi"/>
          <w:bCs/>
          <w:sz w:val="24"/>
          <w:szCs w:val="24"/>
        </w:rPr>
        <w:t xml:space="preserve"> Os produtos deverão ser entregues no(a) sede da Secretaria ou nos locais determinados pela CONTRATANTE</w:t>
      </w:r>
      <w:r>
        <w:rPr>
          <w:rFonts w:ascii="Cambria" w:hAnsi="Cambria" w:cstheme="majorHAnsi"/>
          <w:sz w:val="24"/>
          <w:szCs w:val="24"/>
          <w:lang w:val="pt-PT"/>
        </w:rPr>
        <w:t>.</w:t>
      </w:r>
    </w:p>
    <w:p>
      <w:pPr>
        <w:pStyle w:val="PargrafodaLista"/>
        <w:tabs>
          <w:tab w:val="left" w:pos="567"/>
          <w:tab w:val="left" w:pos="1701"/>
          <w:tab w:val="center" w:pos="4873"/>
          <w:tab w:val="left" w:pos="5103"/>
        </w:tabs>
        <w:ind w:left="0"/>
        <w:jc w:val="both"/>
        <w:rPr>
          <w:rFonts w:ascii="Cambria" w:hAnsi="Cambria" w:cstheme="majorHAnsi"/>
          <w:sz w:val="24"/>
          <w:szCs w:val="24"/>
          <w:lang w:val="pt-PT"/>
        </w:rPr>
      </w:pPr>
      <w:r>
        <w:rPr>
          <w:rFonts w:ascii="Cambria" w:hAnsi="Cambria" w:cstheme="majorHAnsi"/>
          <w:sz w:val="24"/>
          <w:szCs w:val="24"/>
          <w:lang w:val="pt-PT"/>
        </w:rPr>
        <w:t xml:space="preserve"> </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Forma de entrega, acompanhamento e fiscalização da entrega</w:t>
      </w:r>
    </w:p>
    <w:p>
      <w:pPr>
        <w:pStyle w:val="PargrafodaLista"/>
        <w:numPr>
          <w:ilvl w:val="2"/>
          <w:numId w:val="31"/>
        </w:numPr>
        <w:tabs>
          <w:tab w:val="left" w:pos="567"/>
          <w:tab w:val="left" w:pos="1701"/>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fornecimento dos produtos licitados poderá ser feito de forma fracionada ou em sua totalidade, de acordo com a necessidade do órgão interessado durante o prazo de contratação, mediante a expedição de periódicas de </w:t>
      </w:r>
      <w:r>
        <w:rPr>
          <w:rFonts w:ascii="Cambria" w:hAnsi="Cambria" w:cstheme="majorHAnsi"/>
          <w:b/>
          <w:sz w:val="24"/>
          <w:szCs w:val="24"/>
        </w:rPr>
        <w:t>ORDEM DE COMPRA/AUTORIZAÇÃO DE FORNECIMENTO/NOTA DE EMPENHO</w:t>
      </w:r>
      <w:r>
        <w:rPr>
          <w:rFonts w:ascii="Cambria" w:hAnsi="Cambria" w:cstheme="majorHAnsi"/>
          <w:bCs/>
          <w:sz w:val="24"/>
          <w:szCs w:val="24"/>
        </w:rPr>
        <w:t>, pelo órgão demandante, constando a relação e a quantidade de itens a serem entregues.</w:t>
      </w:r>
    </w:p>
    <w:p>
      <w:pPr>
        <w:pStyle w:val="PargrafodaLista"/>
        <w:numPr>
          <w:ilvl w:val="2"/>
          <w:numId w:val="31"/>
        </w:numPr>
        <w:tabs>
          <w:tab w:val="left" w:pos="567"/>
          <w:tab w:val="left" w:pos="1701"/>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entrega dos itens será acompanhada e fiscalizada por servidor do órgão demandante, o qual deverá atestar os documentos da despesa, quando comprovada a fiel e correta entrega para fins de pagamento.</w:t>
      </w:r>
    </w:p>
    <w:p>
      <w:pPr>
        <w:pStyle w:val="PargrafodaLista"/>
        <w:numPr>
          <w:ilvl w:val="2"/>
          <w:numId w:val="31"/>
        </w:numPr>
        <w:tabs>
          <w:tab w:val="left" w:pos="567"/>
          <w:tab w:val="left" w:pos="1701"/>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presença da fiscalização do órgão demandante não elide nem diminui a responsabilidade da empresa contratada.</w:t>
      </w:r>
    </w:p>
    <w:p>
      <w:pPr>
        <w:pStyle w:val="PargrafodaLista"/>
        <w:numPr>
          <w:ilvl w:val="2"/>
          <w:numId w:val="31"/>
        </w:numPr>
        <w:tabs>
          <w:tab w:val="left" w:pos="567"/>
          <w:tab w:val="left" w:pos="1701"/>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Caberá ao servidor designado rejeitar totalmente ou em parte, qualquer bem que não esteja de acordo com as exigências, bem como, determinar prazo para substituição do item eventualmente fora de especificação.</w:t>
      </w:r>
    </w:p>
    <w:p>
      <w:pPr>
        <w:tabs>
          <w:tab w:val="left" w:pos="5103"/>
        </w:tabs>
        <w:rPr>
          <w:rFonts w:ascii="Cambria" w:hAnsi="Cambria" w:cstheme="majorHAnsi"/>
          <w:b/>
          <w:sz w:val="24"/>
          <w:szCs w:val="24"/>
          <w:lang w:eastAsia="en-US"/>
        </w:rPr>
      </w:pPr>
      <w:r>
        <w:rPr>
          <w:rFonts w:ascii="Cambria" w:hAnsi="Cambria" w:cstheme="majorHAnsi"/>
          <w:b/>
          <w:sz w:val="24"/>
          <w:szCs w:val="24"/>
          <w:lang w:eastAsia="en-US"/>
        </w:rPr>
        <w:t xml:space="preserve"> </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lastRenderedPageBreak/>
        <w:t>Prazo para entrega</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Os produtos deverão ser entregues em até </w:t>
      </w:r>
      <w:r>
        <w:rPr>
          <w:rFonts w:ascii="Cambria" w:hAnsi="Cambria" w:cstheme="majorHAnsi"/>
          <w:b/>
          <w:sz w:val="24"/>
          <w:szCs w:val="24"/>
        </w:rPr>
        <w:t>30 (TRINTA) DIAS</w:t>
      </w:r>
      <w:r>
        <w:rPr>
          <w:rFonts w:ascii="Cambria" w:hAnsi="Cambria" w:cstheme="majorHAnsi"/>
          <w:bCs/>
          <w:sz w:val="24"/>
          <w:szCs w:val="24"/>
        </w:rPr>
        <w:t xml:space="preserve">, a contar da emissão da </w:t>
      </w:r>
      <w:r>
        <w:rPr>
          <w:rFonts w:ascii="Cambria" w:hAnsi="Cambria" w:cstheme="majorHAnsi"/>
          <w:b/>
          <w:sz w:val="24"/>
          <w:szCs w:val="24"/>
        </w:rPr>
        <w:t>Ordem de Compra/Nota de Empenho</w:t>
      </w:r>
      <w:r>
        <w:rPr>
          <w:rFonts w:ascii="Cambria" w:hAnsi="Cambria" w:cstheme="majorHAnsi"/>
          <w:bCs/>
          <w:sz w:val="24"/>
          <w:szCs w:val="24"/>
        </w:rPr>
        <w:t xml:space="preserve">, </w:t>
      </w:r>
      <w:r>
        <w:rPr>
          <w:rFonts w:ascii="Cambria" w:hAnsi="Cambria" w:cstheme="majorHAnsi"/>
          <w:b/>
          <w:sz w:val="24"/>
          <w:szCs w:val="24"/>
          <w:u w:val="single"/>
        </w:rPr>
        <w:t>que será enviada à contratada através de e-mail</w:t>
      </w:r>
      <w:r>
        <w:rPr>
          <w:rFonts w:ascii="Cambria" w:hAnsi="Cambria" w:cstheme="majorHAnsi"/>
          <w:bCs/>
          <w:sz w:val="24"/>
          <w:szCs w:val="24"/>
        </w:rPr>
        <w:t xml:space="preserve"> ou outro meio que comprove o seu recebimento.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
          <w:sz w:val="24"/>
          <w:szCs w:val="24"/>
        </w:rPr>
      </w:pPr>
      <w:bookmarkStart w:id="46" w:name="_Hlk155791647"/>
      <w:r>
        <w:rPr>
          <w:rFonts w:ascii="Cambria" w:hAnsi="Cambria" w:cstheme="majorHAnsi"/>
          <w:bCs/>
          <w:sz w:val="24"/>
          <w:szCs w:val="24"/>
        </w:rPr>
        <w:t xml:space="preserve"> A demanda correspondente a </w:t>
      </w:r>
      <w:r>
        <w:rPr>
          <w:rFonts w:ascii="Cambria" w:hAnsi="Cambria" w:cstheme="majorHAnsi"/>
          <w:b/>
          <w:sz w:val="24"/>
          <w:szCs w:val="24"/>
        </w:rPr>
        <w:t>ORDEM DE COMPRA/AUTORIZAÇÃO DE FORNECIMENTO/NOTA DE EMPENHO</w:t>
      </w:r>
      <w:r>
        <w:rPr>
          <w:rFonts w:ascii="Cambria" w:hAnsi="Cambria" w:cstheme="majorHAnsi"/>
          <w:bCs/>
          <w:sz w:val="24"/>
          <w:szCs w:val="24"/>
        </w:rPr>
        <w:t xml:space="preserve"> deverá ser entregue em remessa única. </w:t>
      </w:r>
      <w:bookmarkEnd w:id="46"/>
    </w:p>
    <w:p>
      <w:pPr>
        <w:pStyle w:val="PargrafodaLista"/>
        <w:tabs>
          <w:tab w:val="left" w:pos="567"/>
          <w:tab w:val="left" w:pos="2525"/>
          <w:tab w:val="center" w:pos="4873"/>
          <w:tab w:val="left" w:pos="5103"/>
        </w:tabs>
        <w:ind w:left="0"/>
        <w:jc w:val="both"/>
        <w:rPr>
          <w:rFonts w:ascii="Cambria" w:hAnsi="Cambria" w:cstheme="majorHAnsi"/>
          <w:b/>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DA FORMA DE RECEBIMENTO DO OBJETO E PAGAMENTO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Da forma de recebimento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recebimento </w:t>
      </w:r>
      <w:r>
        <w:rPr>
          <w:rFonts w:ascii="Cambria" w:hAnsi="Cambria" w:cstheme="majorHAnsi"/>
          <w:b/>
          <w:sz w:val="24"/>
          <w:szCs w:val="24"/>
        </w:rPr>
        <w:t>definitivo</w:t>
      </w:r>
      <w:r>
        <w:rPr>
          <w:rFonts w:ascii="Cambria" w:hAnsi="Cambria" w:cstheme="majorHAnsi"/>
          <w:bCs/>
          <w:sz w:val="24"/>
          <w:szCs w:val="24"/>
        </w:rPr>
        <w:t xml:space="preserve"> ocorrerá no prazo de 15 (quinze) dias úteis, a contar do recebimento da nota fiscal ou instrumento de cobrança equivalente pela Administração, após a verificação da qualidade e quantidade do material e consequente aceitação mediante termo detalhado.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Para as contratações decorrentes de despesas cujos valores não ultrapassem o limite de que trata o </w:t>
      </w:r>
      <w:hyperlink r:id="rId11" w:anchor="art75" w:history="1">
        <w:r>
          <w:rPr>
            <w:rFonts w:ascii="Cambria" w:hAnsi="Cambria" w:cstheme="majorHAnsi"/>
            <w:bCs/>
            <w:sz w:val="24"/>
            <w:szCs w:val="24"/>
          </w:rPr>
          <w:t>inciso II do art. 75 da Lei nº 14.133, de 2021</w:t>
        </w:r>
      </w:hyperlink>
      <w:r>
        <w:rPr>
          <w:rFonts w:ascii="Cambria" w:hAnsi="Cambria" w:cstheme="majorHAnsi"/>
          <w:bCs/>
          <w:sz w:val="24"/>
          <w:szCs w:val="24"/>
        </w:rPr>
        <w:t>, o prazo máximo para o recebimento definitivo será de até 05 (cinco) dias úteis.</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prazo para recebimento definitivo poderá ser excepcionalmente prorrogado, de forma justificada, por igual período, quando houver necessidade de diligências para a aferição do atendimento das exigências contratuais.</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No caso de controvérsia sobre a execução do objeto, quanto à dimensão, qualidade e quantidade, deverá ser observado o teor do </w:t>
      </w:r>
      <w:hyperlink r:id="rId12" w:anchor="art143" w:history="1">
        <w:r>
          <w:rPr>
            <w:rFonts w:ascii="Cambria" w:hAnsi="Cambria" w:cstheme="majorHAnsi"/>
            <w:sz w:val="24"/>
            <w:szCs w:val="24"/>
          </w:rPr>
          <w:t>art. 143 da Lei nº 14.133, de 2021</w:t>
        </w:r>
      </w:hyperlink>
      <w:r>
        <w:rPr>
          <w:rFonts w:ascii="Cambria" w:hAnsi="Cambria" w:cstheme="majorHAnsi"/>
          <w:bCs/>
          <w:sz w:val="24"/>
          <w:szCs w:val="24"/>
        </w:rPr>
        <w:t>, comunicando-se à empresa para emissão de Nota Fiscal no que pertine à parcela incontroversa da execução do objeto, para efeito de liquidação e pagamento.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recebimento provisório ou definitivo não excluirá a responsabilidade civil pela solidez e pela segurança do serviço nem a responsabilidade ético-profissional pela perfeita execução do contrato.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Pós conclusão dos procedimentos quanto ao recebimento, serão realizados os atos correspondentes a liquidação e pagamento da despesa.</w:t>
      </w:r>
    </w:p>
    <w:p>
      <w:pPr>
        <w:pStyle w:val="PargrafodaLista"/>
        <w:tabs>
          <w:tab w:val="left" w:pos="567"/>
          <w:tab w:val="left" w:pos="2525"/>
          <w:tab w:val="center" w:pos="4873"/>
          <w:tab w:val="left" w:pos="5103"/>
        </w:tabs>
        <w:ind w:left="0"/>
        <w:jc w:val="both"/>
        <w:rPr>
          <w:rFonts w:ascii="Cambria" w:hAnsi="Cambria" w:cstheme="majorHAnsi"/>
          <w:bCs/>
          <w:sz w:val="24"/>
          <w:szCs w:val="24"/>
        </w:rPr>
      </w:pP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Forma de pagamento</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Pagamento será efetuado na proporção de entrega dos produtos, em até </w:t>
      </w:r>
      <w:r>
        <w:rPr>
          <w:rFonts w:ascii="Cambria" w:hAnsi="Cambria" w:cstheme="majorHAnsi"/>
          <w:b/>
          <w:sz w:val="24"/>
          <w:szCs w:val="24"/>
        </w:rPr>
        <w:t xml:space="preserve">30 (trinta) dias </w:t>
      </w:r>
      <w:r>
        <w:rPr>
          <w:rFonts w:ascii="Cambria" w:hAnsi="Cambria" w:cstheme="majorHAnsi"/>
          <w:bCs/>
          <w:sz w:val="24"/>
          <w:szCs w:val="24"/>
        </w:rPr>
        <w:t>após a emissão da nota fiscal ou instrumento de cobrança equivalente, mediante a constatação da entrega definitiva, através de atesto do recebimento dos produtos e o encaminhamento da documentação necessária, observada todas as disposições pactuadas, bem como, a ordem cronológica de pagamentos.</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Para fins de instrução dos procedimentos de pagamento, além dos documentos citados no subitem anterior, o fornecedor deverá enviar obrigatoriamente a comprovação da regularidade fiscal e trabalhista, constante da seguinte documentação:</w:t>
      </w:r>
    </w:p>
    <w:p>
      <w:pPr>
        <w:pStyle w:val="PargrafodaLista"/>
        <w:numPr>
          <w:ilvl w:val="1"/>
          <w:numId w:val="32"/>
        </w:numPr>
        <w:tabs>
          <w:tab w:val="left" w:pos="567"/>
          <w:tab w:val="left" w:pos="1418"/>
          <w:tab w:val="left" w:pos="2525"/>
          <w:tab w:val="center" w:pos="4873"/>
          <w:tab w:val="left" w:pos="5103"/>
        </w:tabs>
        <w:spacing w:after="200" w:line="276" w:lineRule="auto"/>
        <w:ind w:left="1134" w:firstLine="0"/>
        <w:jc w:val="both"/>
        <w:rPr>
          <w:rFonts w:ascii="Cambria" w:hAnsi="Cambria" w:cstheme="majorHAnsi"/>
          <w:bCs/>
          <w:sz w:val="24"/>
          <w:szCs w:val="24"/>
        </w:rPr>
      </w:pPr>
      <w:r>
        <w:rPr>
          <w:rFonts w:ascii="Cambria" w:hAnsi="Cambria" w:cstheme="majorHAnsi"/>
          <w:bCs/>
          <w:sz w:val="24"/>
          <w:szCs w:val="24"/>
        </w:rPr>
        <w:t>Nota Fiscal/fatura discriminativa, em via única, devidamente atestada pelo gestor do contrato;</w:t>
      </w:r>
    </w:p>
    <w:p>
      <w:pPr>
        <w:pStyle w:val="PargrafodaLista"/>
        <w:numPr>
          <w:ilvl w:val="1"/>
          <w:numId w:val="32"/>
        </w:numPr>
        <w:tabs>
          <w:tab w:val="left" w:pos="567"/>
          <w:tab w:val="left" w:pos="1418"/>
          <w:tab w:val="left" w:pos="2525"/>
          <w:tab w:val="center" w:pos="4873"/>
          <w:tab w:val="left" w:pos="5103"/>
        </w:tabs>
        <w:spacing w:after="200" w:line="276" w:lineRule="auto"/>
        <w:ind w:left="1134" w:firstLine="0"/>
        <w:jc w:val="both"/>
        <w:rPr>
          <w:rFonts w:ascii="Cambria" w:hAnsi="Cambria" w:cstheme="majorHAnsi"/>
          <w:bCs/>
          <w:sz w:val="24"/>
          <w:szCs w:val="24"/>
        </w:rPr>
      </w:pPr>
      <w:r>
        <w:rPr>
          <w:rFonts w:ascii="Cambria" w:hAnsi="Cambria" w:cstheme="majorHAnsi"/>
          <w:bCs/>
          <w:sz w:val="24"/>
          <w:szCs w:val="24"/>
        </w:rPr>
        <w:t>Prova de Regularidade relativa aos Tributos Federais e à Dívida Ativa da União, inclusive em relação as contribuições sociais;</w:t>
      </w:r>
    </w:p>
    <w:p>
      <w:pPr>
        <w:pStyle w:val="PargrafodaLista"/>
        <w:numPr>
          <w:ilvl w:val="1"/>
          <w:numId w:val="32"/>
        </w:numPr>
        <w:tabs>
          <w:tab w:val="left" w:pos="567"/>
          <w:tab w:val="left" w:pos="1418"/>
          <w:tab w:val="left" w:pos="2525"/>
          <w:tab w:val="center" w:pos="4873"/>
          <w:tab w:val="left" w:pos="5103"/>
        </w:tabs>
        <w:spacing w:after="200" w:line="276" w:lineRule="auto"/>
        <w:ind w:left="1134" w:firstLine="0"/>
        <w:jc w:val="both"/>
        <w:rPr>
          <w:rFonts w:ascii="Cambria" w:hAnsi="Cambria" w:cstheme="majorHAnsi"/>
          <w:bCs/>
          <w:sz w:val="24"/>
          <w:szCs w:val="24"/>
        </w:rPr>
      </w:pPr>
      <w:r>
        <w:rPr>
          <w:rFonts w:ascii="Cambria" w:hAnsi="Cambria" w:cstheme="majorHAnsi"/>
          <w:bCs/>
          <w:sz w:val="24"/>
          <w:szCs w:val="24"/>
        </w:rPr>
        <w:t>Prova de Regularidade relativa a Fazenda Estadual;</w:t>
      </w:r>
    </w:p>
    <w:p>
      <w:pPr>
        <w:pStyle w:val="PargrafodaLista"/>
        <w:numPr>
          <w:ilvl w:val="1"/>
          <w:numId w:val="32"/>
        </w:numPr>
        <w:tabs>
          <w:tab w:val="left" w:pos="567"/>
          <w:tab w:val="left" w:pos="1418"/>
          <w:tab w:val="left" w:pos="2525"/>
          <w:tab w:val="center" w:pos="4873"/>
          <w:tab w:val="left" w:pos="5103"/>
        </w:tabs>
        <w:spacing w:after="200" w:line="276" w:lineRule="auto"/>
        <w:ind w:left="1134" w:firstLine="0"/>
        <w:jc w:val="both"/>
        <w:rPr>
          <w:rFonts w:ascii="Cambria" w:hAnsi="Cambria" w:cstheme="majorHAnsi"/>
          <w:bCs/>
          <w:sz w:val="24"/>
          <w:szCs w:val="24"/>
        </w:rPr>
      </w:pPr>
      <w:r>
        <w:rPr>
          <w:rFonts w:ascii="Cambria" w:hAnsi="Cambria" w:cstheme="majorHAnsi"/>
          <w:bCs/>
          <w:sz w:val="24"/>
          <w:szCs w:val="24"/>
        </w:rPr>
        <w:t>Prova de Regularidade relativa a Fazenda Municipal;</w:t>
      </w:r>
    </w:p>
    <w:p>
      <w:pPr>
        <w:pStyle w:val="PargrafodaLista"/>
        <w:numPr>
          <w:ilvl w:val="1"/>
          <w:numId w:val="32"/>
        </w:numPr>
        <w:tabs>
          <w:tab w:val="left" w:pos="567"/>
          <w:tab w:val="left" w:pos="1418"/>
          <w:tab w:val="left" w:pos="2525"/>
          <w:tab w:val="center" w:pos="4873"/>
          <w:tab w:val="left" w:pos="5103"/>
        </w:tabs>
        <w:spacing w:after="200" w:line="276" w:lineRule="auto"/>
        <w:ind w:left="1134" w:firstLine="0"/>
        <w:jc w:val="both"/>
        <w:rPr>
          <w:rFonts w:ascii="Cambria" w:hAnsi="Cambria" w:cstheme="majorHAnsi"/>
          <w:bCs/>
          <w:sz w:val="24"/>
          <w:szCs w:val="24"/>
        </w:rPr>
      </w:pPr>
      <w:r>
        <w:rPr>
          <w:rFonts w:ascii="Cambria" w:hAnsi="Cambria" w:cstheme="majorHAnsi"/>
          <w:bCs/>
          <w:sz w:val="24"/>
          <w:szCs w:val="24"/>
        </w:rPr>
        <w:t>Prova de Regularidade relativa ao FGTS;</w:t>
      </w:r>
    </w:p>
    <w:p>
      <w:pPr>
        <w:pStyle w:val="PargrafodaLista"/>
        <w:numPr>
          <w:ilvl w:val="1"/>
          <w:numId w:val="32"/>
        </w:numPr>
        <w:tabs>
          <w:tab w:val="left" w:pos="567"/>
          <w:tab w:val="left" w:pos="1418"/>
          <w:tab w:val="left" w:pos="2525"/>
          <w:tab w:val="center" w:pos="4873"/>
          <w:tab w:val="left" w:pos="5103"/>
        </w:tabs>
        <w:spacing w:after="200" w:line="276" w:lineRule="auto"/>
        <w:ind w:left="1134" w:firstLine="0"/>
        <w:jc w:val="both"/>
        <w:rPr>
          <w:rFonts w:ascii="Cambria" w:hAnsi="Cambria" w:cstheme="majorHAnsi"/>
          <w:bCs/>
          <w:sz w:val="24"/>
          <w:szCs w:val="24"/>
        </w:rPr>
      </w:pPr>
      <w:r>
        <w:rPr>
          <w:rFonts w:ascii="Cambria" w:hAnsi="Cambria" w:cstheme="majorHAnsi"/>
          <w:bCs/>
          <w:sz w:val="24"/>
          <w:szCs w:val="24"/>
        </w:rPr>
        <w:t>Prova de Regularidade relativa à Justiça do trabalho (Certidão Negativa de Débitos Trabalhistas - CNDT).</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setor competente quanto aos pagamentos realizará a consulta dos documentos apresentados por meio de verificação on-line ao SICAF ou, na impossibilidade de acesso ao referido Sistema, mediante consulta aos sítios eletrônicos oficiais ou à documentação mencionada no art. 68 da Lei nº 14.133, de 2021.   </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 Administração deverá realizar consulta ao SICAF para: </w:t>
      </w:r>
    </w:p>
    <w:p>
      <w:pPr>
        <w:pStyle w:val="PargrafodaLista"/>
        <w:numPr>
          <w:ilvl w:val="3"/>
          <w:numId w:val="31"/>
        </w:numPr>
        <w:tabs>
          <w:tab w:val="left" w:pos="567"/>
          <w:tab w:val="left" w:pos="1560"/>
          <w:tab w:val="center" w:pos="4873"/>
          <w:tab w:val="left" w:pos="5103"/>
        </w:tabs>
        <w:spacing w:line="276" w:lineRule="auto"/>
        <w:ind w:left="709" w:hanging="10"/>
        <w:jc w:val="both"/>
        <w:rPr>
          <w:rFonts w:ascii="Cambria" w:hAnsi="Cambria" w:cstheme="majorHAnsi"/>
          <w:bCs/>
          <w:sz w:val="24"/>
          <w:szCs w:val="24"/>
        </w:rPr>
      </w:pPr>
      <w:r>
        <w:rPr>
          <w:rFonts w:ascii="Cambria" w:hAnsi="Cambria" w:cstheme="majorHAnsi"/>
          <w:bCs/>
          <w:sz w:val="24"/>
          <w:szCs w:val="24"/>
        </w:rPr>
        <w:t xml:space="preserve">verificar a manutenção das condições de habilitação exigidas no edital; </w:t>
      </w:r>
    </w:p>
    <w:p>
      <w:pPr>
        <w:pStyle w:val="PargrafodaLista"/>
        <w:numPr>
          <w:ilvl w:val="3"/>
          <w:numId w:val="31"/>
        </w:numPr>
        <w:tabs>
          <w:tab w:val="left" w:pos="567"/>
          <w:tab w:val="left" w:pos="1560"/>
          <w:tab w:val="center" w:pos="4873"/>
          <w:tab w:val="left" w:pos="5103"/>
        </w:tabs>
        <w:spacing w:line="276" w:lineRule="auto"/>
        <w:ind w:left="709" w:hanging="10"/>
        <w:jc w:val="both"/>
        <w:rPr>
          <w:rFonts w:ascii="Cambria" w:hAnsi="Cambria" w:cstheme="majorHAnsi"/>
          <w:bCs/>
          <w:sz w:val="24"/>
          <w:szCs w:val="24"/>
        </w:rPr>
      </w:pPr>
      <w:r>
        <w:rPr>
          <w:rFonts w:ascii="Cambria" w:hAnsi="Cambria" w:cstheme="majorHAnsi"/>
          <w:bCs/>
          <w:sz w:val="24"/>
          <w:szCs w:val="24"/>
        </w:rPr>
        <w:t>identificar possível razão que impeça a participação em licitação, no âmbito do órgão ou entidade, que implique proibição de contratar com o Poder Público, bem como ocorrências impeditivas indiretas.</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Persistindo a irregularidade, o contratante deverá adotar as medidas necessárias à rescisão contratual nos autos do processo administrativo correspondente, assegurada ao contratado a ampla defesa. </w:t>
      </w:r>
    </w:p>
    <w:p>
      <w:pPr>
        <w:pStyle w:val="PargrafodaLista"/>
        <w:numPr>
          <w:ilvl w:val="2"/>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Havendo a efetiva execução do objeto, os pagamentos serão realizados normalmente, até que se decida pela rescisão do contrato, caso o contratado não regularize sua situação junto ao SICAF.  </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Será considerada data do pagamento o dia em que constar como emitida a ordem bancária para pagamento.</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Quando do pagamento, será efetuada a retenção tributária prevista na legislação aplicável.</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Independentemente do percentual de tributo inserido na planilha, quando houver, serão retidos na fonte, quando da realização do pagamento, os percentuais estabelecidos na legislação vigente.</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contratado regularmente optante pelo Simples Nacional, nos termos da </w:t>
      </w:r>
      <w:hyperlink r:id="rId13" w:history="1">
        <w:r>
          <w:rPr>
            <w:rFonts w:ascii="Cambria" w:hAnsi="Cambria" w:cstheme="majorHAnsi"/>
            <w:bCs/>
            <w:sz w:val="24"/>
            <w:szCs w:val="24"/>
          </w:rPr>
          <w:t>Lei Complementar nº 123, de 2006</w:t>
        </w:r>
      </w:hyperlink>
      <w:r>
        <w:rPr>
          <w:rFonts w:ascii="Cambria" w:hAnsi="Cambria" w:cstheme="majorHAnsi"/>
          <w:bCs/>
          <w:sz w:val="24"/>
          <w:szCs w:val="24"/>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PargrafodaLista"/>
        <w:tabs>
          <w:tab w:val="left" w:pos="567"/>
          <w:tab w:val="left" w:pos="2525"/>
          <w:tab w:val="center" w:pos="4873"/>
          <w:tab w:val="left" w:pos="5103"/>
        </w:tabs>
        <w:ind w:left="0"/>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DO PRAZO DE VIGÊNCIA</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contrato produzirá seus jurídicos e legais efeitos a partir da data de sua assinatura e vigorará por até 12 (doze) meses.</w:t>
      </w:r>
    </w:p>
    <w:p>
      <w:pPr>
        <w:tabs>
          <w:tab w:val="left" w:pos="426"/>
          <w:tab w:val="left" w:pos="2525"/>
          <w:tab w:val="center" w:pos="4873"/>
          <w:tab w:val="left" w:pos="5103"/>
        </w:tabs>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REQUISITOS ESPECÍFICOS DO PROCEDIMENTO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Da forma de apresentação das propostas</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Na proposta de preços deverá constar as especificações detalhadas do item, quantidade solicitada, marca, o valor unitário e total, já considerando todas as despesas, tributos, impostos, taxas, encargos e demais despesas que incidam direta ou indiretamente sobre os produtos, mesmo que não estejam registrados neste documento.</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licitante deverá garantir a entrega dos itens sem qualquer defeito de fabricação, e se caso constatado alguma imperfeição, terão os itens devolvidos e a licitante submetida às penalidades da Lei, além do registro da falha no Cadastro de Fornecedores Municipais.</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Será considerada vencedora a licitante cuja proposta contenha o </w:t>
      </w:r>
      <w:r>
        <w:rPr>
          <w:rFonts w:ascii="Cambria" w:hAnsi="Cambria" w:cstheme="majorHAnsi"/>
          <w:b/>
          <w:sz w:val="24"/>
          <w:szCs w:val="24"/>
        </w:rPr>
        <w:t>MENOR PREÇO GLOBAL</w:t>
      </w:r>
      <w:r>
        <w:rPr>
          <w:rFonts w:ascii="Cambria" w:hAnsi="Cambria" w:cstheme="majorHAnsi"/>
          <w:bCs/>
          <w:sz w:val="24"/>
          <w:szCs w:val="24"/>
        </w:rPr>
        <w:t>, desde que atenda as exigências contidas neste Termo de Referência.</w:t>
      </w:r>
    </w:p>
    <w:p>
      <w:pPr>
        <w:pStyle w:val="PargrafodaLista"/>
        <w:tabs>
          <w:tab w:val="left" w:pos="567"/>
          <w:tab w:val="left" w:pos="709"/>
          <w:tab w:val="left" w:pos="2525"/>
          <w:tab w:val="center" w:pos="4873"/>
          <w:tab w:val="left" w:pos="5103"/>
        </w:tabs>
        <w:ind w:left="0"/>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MODELO DE GESTÃO DO CONTRATO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contrato deverá ser executado fielmente pelas partes, de acordo com as cláusulas avençadas e as normas da Lei nº 14.133, de 2021, e cada parte responderá pelas consequências de sua inexecução total ou parcial.</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Em caso de impedimento, ordem de paralisação ou suspensão do contrato, o cronograma de fornecimento será prorrogado automaticamente pelo tempo correspondente, anotadas tais circunstâncias mediante simples apostila.</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As comunicações entre o órgão ou entidade e a contratada devem ser realizadas por escrito sempre que o ato exigir tal formalidade, admitindo-se o uso de mensagem eletrônica para esse fim.</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órgão ou entidade poderá convocar representante da empresa para adoção de providências que devam ser cumpridas de imediato.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w:t>
      </w:r>
      <w:r>
        <w:rPr>
          <w:rFonts w:ascii="Cambria" w:hAnsi="Cambria" w:cstheme="majorHAnsi"/>
          <w:bCs/>
          <w:sz w:val="24"/>
          <w:szCs w:val="24"/>
        </w:rPr>
        <w:lastRenderedPageBreak/>
        <w:t>execução da contratada, quando houver, do método de aferição dos resultados e das sanções aplicáveis, dentre outros.</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execução do contrato deverá ser acompanhada e fiscalizada pelo(s) fiscal(is) do contrato, ou pelos respectivos substitutos (</w:t>
      </w:r>
      <w:hyperlink r:id="rId14" w:anchor="art117" w:history="1">
        <w:r>
          <w:rPr>
            <w:rFonts w:ascii="Cambria" w:hAnsi="Cambria" w:cstheme="majorHAnsi"/>
            <w:bCs/>
            <w:sz w:val="24"/>
            <w:szCs w:val="24"/>
          </w:rPr>
          <w:t>Lei nº 14.133, de 2021, art. 117, caput</w:t>
        </w:r>
      </w:hyperlink>
      <w:r>
        <w:rPr>
          <w:rFonts w:ascii="Cambria" w:hAnsi="Cambria" w:cstheme="majorHAnsi"/>
          <w:bCs/>
          <w:sz w:val="24"/>
          <w:szCs w:val="24"/>
        </w:rPr>
        <w:t>).</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fiscal do contrato acompanhará a execução do contrato, para que sejam cumpridas todas as condições estabelecidas no contrato, de modo a assegurar os melhores resultados para a Administração.</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fiscal do contrato anotará no histórico de gerenciamento do contrato todas as ocorrências relacionadas à execução do contrato, com a descrição do que for necessário para a regularização das faltas ou dos defeitos observados. (</w:t>
      </w:r>
      <w:hyperlink r:id="rId15" w:anchor="art117§1" w:history="1">
        <w:r>
          <w:rPr>
            <w:rFonts w:ascii="Cambria" w:hAnsi="Cambria" w:cstheme="majorHAnsi"/>
            <w:bCs/>
            <w:sz w:val="24"/>
            <w:szCs w:val="24"/>
          </w:rPr>
          <w:t>Lei nº 14.133, de 2021, art. 117, §1º</w:t>
        </w:r>
      </w:hyperlink>
      <w:r>
        <w:rPr>
          <w:rFonts w:ascii="Cambria" w:hAnsi="Cambria" w:cstheme="majorHAnsi"/>
          <w:bCs/>
          <w:sz w:val="24"/>
          <w:szCs w:val="24"/>
        </w:rPr>
        <w:t>).</w:t>
      </w:r>
    </w:p>
    <w:p>
      <w:pPr>
        <w:pStyle w:val="PargrafodaLista"/>
        <w:numPr>
          <w:ilvl w:val="1"/>
          <w:numId w:val="31"/>
        </w:numPr>
        <w:tabs>
          <w:tab w:val="left" w:pos="42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Identificada qualquer inexatidão ou irregularidade, o fiscal do contrato emitirá notificações para a correção da execução do contrato, determinando prazo para a correção. </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fiscal do contrato informará ao gestor do contato, em tempo hábil, a situação que demandar decisão ou adoção de medidas que ultrapassem sua competência, para que adote as medidas necessárias e saneadoras, se for o caso.</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No caso de ocorrências que possam inviabilizar a execução do contrato nas datas aprazadas, o fiscal do contrato comunicará o fato imediatamente ao gestor do contrato. </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fiscal do contrato comunicar ao gestor do contrato, em tempo hábil, o término do contrato sob sua responsabilidade, com vistas à renovação tempestiva ou à prorrogação contratual.</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1"/>
          <w:numId w:val="31"/>
        </w:numPr>
        <w:tabs>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Caso ocorram descumprimento das obrigações contratuais, o fiscal administrativo do contrato atuará tempestivamente na solução do problema, reportando ao gestor do contrato para que tome as providências cabíveis, quando ultrapassar a sua competência.</w:t>
      </w:r>
    </w:p>
    <w:p>
      <w:pPr>
        <w:pStyle w:val="PargrafodaLista"/>
        <w:numPr>
          <w:ilvl w:val="1"/>
          <w:numId w:val="31"/>
        </w:numPr>
        <w:tabs>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gestor do contrato coordenará a atualização do processo de acompanhamento e fiscalização do contrato contendo todos os registros formais da execução no histórico de gerenciamento do contrato, a exemplo da ordem de compra/nota de empenho, do registro de ocorrências, das alterações e das prorrogações contratuais, elaborando relatório com vistas à verificação da necessidade de adequações do contrato para fins de atendimento da finalidade da administração.</w:t>
      </w:r>
    </w:p>
    <w:p>
      <w:pPr>
        <w:pStyle w:val="PargrafodaLista"/>
        <w:numPr>
          <w:ilvl w:val="1"/>
          <w:numId w:val="31"/>
        </w:numPr>
        <w:tabs>
          <w:tab w:val="left" w:pos="567"/>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pPr>
        <w:pStyle w:val="PargrafodaLista"/>
        <w:numPr>
          <w:ilvl w:val="1"/>
          <w:numId w:val="31"/>
        </w:numPr>
        <w:tabs>
          <w:tab w:val="left" w:pos="567"/>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pStyle w:val="PargrafodaLista"/>
        <w:numPr>
          <w:ilvl w:val="1"/>
          <w:numId w:val="31"/>
        </w:numPr>
        <w:tabs>
          <w:tab w:val="left" w:pos="567"/>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gestor do contrato emitirá documento comprobatório da avaliação realizada pelos fiscais técnico, administrativo e setorial quanto ao cumprimento de obrigações assumidas pelo </w:t>
      </w:r>
      <w:r>
        <w:rPr>
          <w:rFonts w:ascii="Cambria" w:hAnsi="Cambria" w:cstheme="majorHAnsi"/>
          <w:bCs/>
          <w:sz w:val="24"/>
          <w:szCs w:val="24"/>
        </w:rPr>
        <w:lastRenderedPageBreak/>
        <w:t xml:space="preserve">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1"/>
          <w:numId w:val="31"/>
        </w:numPr>
        <w:tabs>
          <w:tab w:val="left" w:pos="567"/>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pStyle w:val="PargrafodaLista"/>
        <w:numPr>
          <w:ilvl w:val="1"/>
          <w:numId w:val="31"/>
        </w:numPr>
        <w:tabs>
          <w:tab w:val="left" w:pos="567"/>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fiscal administrativo do contrato comunicará ao gestor do contrato, em tempo hábil, o término do contrato sob sua responsabilidade, com vistas à tempestiva renovação ou prorrogação contratual.</w:t>
      </w:r>
    </w:p>
    <w:p>
      <w:pPr>
        <w:pStyle w:val="PargrafodaLista"/>
        <w:numPr>
          <w:ilvl w:val="1"/>
          <w:numId w:val="31"/>
        </w:numPr>
        <w:tabs>
          <w:tab w:val="left" w:pos="567"/>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gestor do contrato deverá elaborará relatório final com informações sobre a consecução dos objetivos que tenham justificado a contratação e eventuais condutas a serem adotadas para o aprimoramento das atividades da Administração.</w:t>
      </w:r>
    </w:p>
    <w:p>
      <w:pPr>
        <w:pStyle w:val="PargrafodaLista"/>
        <w:tabs>
          <w:tab w:val="left" w:pos="567"/>
          <w:tab w:val="left" w:pos="851"/>
          <w:tab w:val="left" w:pos="2525"/>
          <w:tab w:val="center" w:pos="4873"/>
          <w:tab w:val="left" w:pos="5103"/>
        </w:tabs>
        <w:ind w:left="0"/>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284"/>
          <w:tab w:val="center" w:pos="426"/>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 xml:space="preserve"> DAS OBRIGAÇÕES E RESPONSABILIDADES:</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As partes se obrigam reciprocamente a cumprir integralmente as disposições do instrumento convocatório da Lei Nº. 14.133.</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 xml:space="preserve">São obrigações do </w:t>
      </w:r>
      <w:r>
        <w:rPr>
          <w:rFonts w:ascii="Cambria" w:hAnsi="Cambria" w:cstheme="majorHAnsi"/>
          <w:b/>
          <w:sz w:val="24"/>
          <w:szCs w:val="24"/>
          <w:u w:val="single"/>
        </w:rPr>
        <w:t>contratante</w:t>
      </w:r>
      <w:r>
        <w:rPr>
          <w:rFonts w:ascii="Cambria" w:hAnsi="Cambria" w:cstheme="majorHAnsi"/>
          <w:b/>
          <w:sz w:val="24"/>
          <w:szCs w:val="24"/>
        </w:rPr>
        <w:t xml:space="preserve">, nos termos do </w:t>
      </w:r>
      <w:hyperlink r:id="rId16" w:anchor="art92" w:history="1">
        <w:r>
          <w:rPr>
            <w:rFonts w:ascii="Cambria" w:hAnsi="Cambria" w:cstheme="majorHAnsi"/>
            <w:b/>
            <w:sz w:val="24"/>
            <w:szCs w:val="24"/>
          </w:rPr>
          <w:t>art. 92, X, XI e XIV</w:t>
        </w:r>
      </w:hyperlink>
      <w:r>
        <w:rPr>
          <w:rFonts w:ascii="Cambria" w:hAnsi="Cambria" w:cstheme="majorHAnsi"/>
          <w:b/>
          <w:sz w:val="24"/>
          <w:szCs w:val="24"/>
        </w:rPr>
        <w:t xml:space="preserve"> da Lei Federal n.º 14.133/21:</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Exigir o cumprimento de todas as obrigações assumidas pelo Contratado, de acordo com o contrato e seus anexos.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Receber o objeto no prazo e condições estabelecidas no Termo de Referência.</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Notificar o Contratado, por escrito, sobre vícios, defeitos ou incorreções verificadas no objeto fornecido, para que seja por ele substituído, reparado ou corrigido, no total ou em parte, às suas expensas.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Acompanhar e fiscalizar a execução do contrato e o cumprimento das obrigações pelo Contratado.</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Comunicar a empresa para emissão de Nota Fiscal no que pertine à parcela incontroversa da execução do objeto, para efeito de liquidação e pagamento, quando houver controvérsia sobre a execução do objeto, quanto à dimensão, qualidade e quantidade, conforme o </w:t>
      </w:r>
      <w:hyperlink r:id="rId17" w:anchor="art143" w:history="1">
        <w:r>
          <w:rPr>
            <w:rFonts w:ascii="Cambria" w:hAnsi="Cambria" w:cstheme="majorHAnsi"/>
            <w:bCs/>
            <w:sz w:val="24"/>
            <w:szCs w:val="24"/>
          </w:rPr>
          <w:t>art. 143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Efetuar o pagamento ao Contratado do valor correspondente ao fornecimento do objeto, no prazo, forma e condições estabelecidos no presente Contrato.</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Aplicar ao Contratado as sanções previstas na lei e neste Contrato.</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Cientificar o órgão de representação judicial do Município para adoção das medidas cabíveis quando do descumprimento de obrigações pelo Contratado.</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 xml:space="preserve"> A Administração terá o prazo de 01 (um) mês, nos termos do art. 123, parágrafo único, da Lei n.º 14.133, de 2021 e o art. 28, do Decreto n.º 11.246, de 2022, a contar da data do protocolo do requerimento para decidir, admitida a prorrogação motivada, por igual período. </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Responder eventuais pedidos de reestabelecimento do equilíbrio econômico-financeiro feitos pelo contratado no prazo máximo de 01 (um) mês, nos termos do art. 123, parágrafo único, da Lei n.º 14.133, de 2021.</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Notificar os emitentes das garantias quanto ao início de processo administrativo para apuração de descumprimento de cláusulas contratuais.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sz w:val="24"/>
          <w:szCs w:val="24"/>
        </w:rPr>
        <w:t>Indicar o local e horário em que deverão ser entregues os produtos/materiais/equipamentos.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sz w:val="24"/>
          <w:szCs w:val="24"/>
        </w:rPr>
        <w:t>Permitir ao pessoal da CONTRATADO acesso ao local da entrega desde que observadas as normas de segurança.</w:t>
      </w:r>
    </w:p>
    <w:p>
      <w:pPr>
        <w:pStyle w:val="PargrafodaLista"/>
        <w:tabs>
          <w:tab w:val="left" w:pos="567"/>
          <w:tab w:val="left" w:pos="709"/>
          <w:tab w:val="left" w:pos="851"/>
          <w:tab w:val="left" w:pos="2525"/>
          <w:tab w:val="center" w:pos="4873"/>
          <w:tab w:val="left" w:pos="5103"/>
        </w:tabs>
        <w:ind w:left="0"/>
        <w:jc w:val="both"/>
        <w:rPr>
          <w:rFonts w:ascii="Cambria" w:hAnsi="Cambria" w:cstheme="majorHAnsi"/>
          <w:bCs/>
          <w:sz w:val="24"/>
          <w:szCs w:val="24"/>
        </w:rPr>
      </w:pP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 xml:space="preserve">São obrigações do </w:t>
      </w:r>
      <w:r>
        <w:rPr>
          <w:rFonts w:ascii="Cambria" w:hAnsi="Cambria" w:cstheme="majorHAnsi"/>
          <w:b/>
          <w:sz w:val="24"/>
          <w:szCs w:val="24"/>
          <w:u w:val="single"/>
        </w:rPr>
        <w:t>contratado</w:t>
      </w:r>
      <w:r>
        <w:rPr>
          <w:rFonts w:ascii="Cambria" w:hAnsi="Cambria" w:cstheme="majorHAnsi"/>
          <w:b/>
          <w:sz w:val="24"/>
          <w:szCs w:val="24"/>
        </w:rPr>
        <w:t xml:space="preserve">, nos termos do </w:t>
      </w:r>
      <w:hyperlink r:id="rId18" w:anchor="art92" w:history="1">
        <w:r>
          <w:rPr>
            <w:rFonts w:ascii="Cambria" w:hAnsi="Cambria" w:cstheme="majorHAnsi"/>
            <w:b/>
            <w:sz w:val="24"/>
            <w:szCs w:val="24"/>
          </w:rPr>
          <w:t>art. 92, XIV, XVI e XVII</w:t>
        </w:r>
      </w:hyperlink>
      <w:r>
        <w:rPr>
          <w:rFonts w:ascii="Cambria" w:hAnsi="Cambria" w:cstheme="majorHAnsi"/>
          <w:b/>
          <w:sz w:val="24"/>
          <w:szCs w:val="24"/>
        </w:rPr>
        <w:t xml:space="preserve"> da Lei Federal n.º 14.133/21:</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Contratado deve cumprir todas as obrigações constantes do Contrato e em seus anexos, assumindo como exclusivamente seus os riscos e as despesas decorrentes da boa e perfeita execução do objeto, observando, ainda, as obrigações a seguir dispostas:</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Entregar o objeto acompanhado do manual do usuário, com uma versão em português, e da relação da rede de assistência técnica autorizada, se for o caso.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Responsabilizar-se pelos vícios e danos decorrentes do objeto, de acordo com o Código de Defesa do Consumidor (</w:t>
      </w:r>
      <w:hyperlink r:id="rId19" w:history="1">
        <w:r>
          <w:rPr>
            <w:rFonts w:ascii="Cambria" w:hAnsi="Cambria" w:cstheme="majorHAnsi"/>
            <w:sz w:val="24"/>
            <w:szCs w:val="24"/>
          </w:rPr>
          <w:t>Lei nº 8.078, de 1990</w:t>
        </w:r>
      </w:hyperlink>
      <w:r>
        <w:rPr>
          <w:rFonts w:ascii="Cambria" w:hAnsi="Cambria" w:cstheme="majorHAnsi"/>
          <w:sz w:val="24"/>
          <w:szCs w:val="24"/>
        </w:rPr>
        <w:t>).</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Comunicar ao contratante, no prazo máximo de 24 (vinte e quatro) horas que antecede a data da entrega, os motivos que impossibilitem o cumprimento do prazo previsto, com a devida comprovação.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Atender às determinações regulares emitidas pelo fiscal ou gestor do contrato ou autoridade superior (</w:t>
      </w:r>
      <w:hyperlink r:id="rId20" w:anchor="art137" w:history="1">
        <w:r>
          <w:rPr>
            <w:rFonts w:ascii="Cambria" w:hAnsi="Cambria" w:cstheme="majorHAnsi"/>
            <w:sz w:val="24"/>
            <w:szCs w:val="24"/>
          </w:rPr>
          <w:t>art. 137, II, da Lei n.º 14.133, de 2021</w:t>
        </w:r>
      </w:hyperlink>
      <w:r>
        <w:rPr>
          <w:rFonts w:ascii="Cambria" w:hAnsi="Cambria" w:cstheme="majorHAnsi"/>
          <w:sz w:val="24"/>
          <w:szCs w:val="24"/>
        </w:rPr>
        <w:t>) e prestar todo esclarecimento ou informação por eles solicitados.</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Reparar, corrigir, remover, reconstruir ou substituir, às suas expensas, no total ou em parte, no prazo fixado pelo fiscal do contrato, os bens nos quais se verificarem vícios, defeitos ou incorreções resultantes da execução ou dos materiais empregados.</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lastRenderedPageBreak/>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Comunicar ao Fiscal do contrato, no prazo de 24 (vinte e quatro) horas, qualquer ocorrência anormal ou acidente que se verifique no local da execução do objeto contratual.</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Paralisar, por determinação do contratante, qualquer atividade que não esteja sendo executada de acordo com a boa técnica ou que ponha em risco a segurança de pessoas ou bens de terceiros.</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Manter durante toda a vigência do contrato, em compatibilidade com as obrigações assumidas, todas as condições exigidas para habilitação na licitação.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Pr>
            <w:rFonts w:ascii="Cambria" w:hAnsi="Cambria" w:cstheme="majorHAnsi"/>
            <w:sz w:val="24"/>
            <w:szCs w:val="24"/>
          </w:rPr>
          <w:t>art. 116, da Lei n.º 14.133, de 2021</w:t>
        </w:r>
      </w:hyperlink>
      <w:r>
        <w:rPr>
          <w:rFonts w:ascii="Cambria" w:hAnsi="Cambria" w:cstheme="majorHAnsi"/>
          <w:sz w:val="24"/>
          <w:szCs w:val="24"/>
        </w:rPr>
        <w:t>).</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Comprovar a reserva de cargos a que se refere a cláusula acima, no prazo fixado pelo fiscal do contrato, com a indicação dos empregados que preencheram as referidas vagas (</w:t>
      </w:r>
      <w:hyperlink r:id="rId22" w:anchor="art116" w:history="1">
        <w:r>
          <w:rPr>
            <w:rFonts w:ascii="Cambria" w:hAnsi="Cambria" w:cstheme="majorHAnsi"/>
            <w:sz w:val="24"/>
            <w:szCs w:val="24"/>
          </w:rPr>
          <w:t>art. 116, parágrafo único, da Lei n.º 14.133, de 2021</w:t>
        </w:r>
      </w:hyperlink>
      <w:r>
        <w:rPr>
          <w:rFonts w:ascii="Cambria" w:hAnsi="Cambria" w:cstheme="majorHAnsi"/>
          <w:sz w:val="24"/>
          <w:szCs w:val="24"/>
        </w:rPr>
        <w:t>).</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Guardar sigilo sobre todas as informações obtidas em decorrência do cumprimento do contrato.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Pr>
            <w:rFonts w:ascii="Cambria" w:hAnsi="Cambria" w:cstheme="majorHAnsi"/>
            <w:sz w:val="24"/>
            <w:szCs w:val="24"/>
          </w:rPr>
          <w:t>art. 124, II, d, da Lei nº 14.133, de 2021</w:t>
        </w:r>
      </w:hyperlink>
      <w:r>
        <w:rPr>
          <w:rFonts w:ascii="Cambria" w:hAnsi="Cambria" w:cstheme="majorHAnsi"/>
          <w:sz w:val="24"/>
          <w:szCs w:val="24"/>
        </w:rPr>
        <w:t>.</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Cumprir, além dos postulados legais vigentes de âmbito federal, estadual ou municipal, as normas de segurança do contratante.</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bookmarkStart w:id="47" w:name="_Ref118293001"/>
      <w:r>
        <w:rPr>
          <w:rFonts w:ascii="Cambria" w:hAnsi="Cambria" w:cstheme="majorHAnsi"/>
          <w:sz w:val="24"/>
          <w:szCs w:val="24"/>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47"/>
      <w:r>
        <w:rPr>
          <w:rFonts w:ascii="Cambria" w:hAnsi="Cambria" w:cstheme="majorHAnsi"/>
          <w:sz w:val="24"/>
          <w:szCs w:val="24"/>
        </w:rPr>
        <w:t>.</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Orientar e treinar seus empregados sobre os deveres previstos na Lei nº 13.709, de 14 de agosto de 2018, se for o caso, adotando medidas eficazes para proteção de dados pessoais a que tenha acesso por força da execução deste contrato.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lastRenderedPageBreak/>
        <w:t>Conduzir os trabalhos com estrita observância às normas da legislação pertinente, cumprindo as determinações dos Poderes Públicos, mantendo sempre limpo o local de execução do objeto e nas melhores condições de segurança, higiene e disciplina.</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Submeter previamente, por escrito, ao contratante, para análise e aprovação, quaisquer mudanças nos métodos executivos que fujam às especificações do memorial descritivo ou instrumento congênere.</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bookmarkStart w:id="48" w:name="_Ref118293030"/>
      <w:r>
        <w:rPr>
          <w:rFonts w:ascii="Cambria" w:hAnsi="Cambria" w:cstheme="majorHAnsi"/>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bookmarkEnd w:id="48"/>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Assinar e devolver a ordem de compra ao Município de Miraíma/CE no prazo máximo de 24 (vinte e quatro) horas, a contar da data do seu recebimento.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Entregar os itens licitados no prazo máximo estabelecido no termo de referência, contados do recebimento da ordem de compra,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A reparar, corrigir, remover ou substituir, às suas expensas, no total ou em parte, o objeto do contrato em que se verificarem vícios, defeitos ou incorreções.</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Responsabilizar-se pelos danos causados diretamente à Administração ou a terceiros, decorrentes de sua culpa ou dolo na execução do contrato, não excluindo ou reduzindo essa responsabilidade a fiscalização ou o acompanhamento pelo órgão interessado.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Aceitar, nas mesmas condições contratuais, os acréscimos ou supressões que se fizerem no fornecimento, até 25% (vinte e cinco por cento) do valor inicial atualizado do contrato, na forma do art. 125º da Lei n.º 14.133/21.</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pStyle w:val="PargrafodaLista"/>
        <w:numPr>
          <w:ilvl w:val="0"/>
          <w:numId w:val="40"/>
        </w:numPr>
        <w:tabs>
          <w:tab w:val="left" w:pos="284"/>
          <w:tab w:val="left" w:pos="5103"/>
        </w:tabs>
        <w:spacing w:after="200" w:line="276" w:lineRule="auto"/>
        <w:ind w:left="0" w:firstLine="0"/>
        <w:jc w:val="both"/>
        <w:rPr>
          <w:rFonts w:ascii="Cambria" w:hAnsi="Cambria" w:cstheme="majorHAnsi"/>
          <w:sz w:val="24"/>
          <w:szCs w:val="24"/>
        </w:rPr>
      </w:pPr>
      <w:r>
        <w:rPr>
          <w:rFonts w:ascii="Cambria" w:hAnsi="Cambria" w:cstheme="majorHAnsi"/>
          <w:sz w:val="24"/>
          <w:szCs w:val="24"/>
        </w:rPr>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w:t>
      </w: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426"/>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INFRAÇÕES E SANÇÕES ADMINISTRATIVAS (</w:t>
      </w:r>
      <w:hyperlink r:id="rId24" w:anchor="art92" w:history="1">
        <w:r>
          <w:rPr>
            <w:rFonts w:ascii="Cambria" w:hAnsi="Cambria" w:cstheme="majorHAnsi"/>
            <w:b/>
            <w:sz w:val="24"/>
            <w:szCs w:val="24"/>
          </w:rPr>
          <w:t>art. 92, XIV</w:t>
        </w:r>
      </w:hyperlink>
      <w:r>
        <w:rPr>
          <w:rFonts w:ascii="Cambria" w:hAnsi="Cambria" w:cstheme="majorHAnsi"/>
          <w:b/>
          <w:sz w:val="24"/>
          <w:szCs w:val="24"/>
        </w:rPr>
        <w:t>)</w:t>
      </w: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t xml:space="preserve">Comete infração administrativa, nos termos da </w:t>
      </w:r>
      <w:hyperlink r:id="rId25" w:history="1">
        <w:r>
          <w:rPr>
            <w:rFonts w:ascii="Cambria" w:hAnsi="Cambria" w:cstheme="majorHAnsi"/>
            <w:b/>
            <w:sz w:val="24"/>
            <w:szCs w:val="24"/>
          </w:rPr>
          <w:t>Lei nº 14.133, de 2021</w:t>
        </w:r>
      </w:hyperlink>
      <w:r>
        <w:rPr>
          <w:rFonts w:ascii="Cambria" w:hAnsi="Cambria" w:cstheme="majorHAnsi"/>
          <w:b/>
          <w:sz w:val="24"/>
          <w:szCs w:val="24"/>
        </w:rPr>
        <w:t>, o licitante/adjudicatário que, com dolo ou culpa:</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49" w:name="_Ref114668085"/>
      <w:bookmarkStart w:id="50" w:name="_Hlk114652595"/>
      <w:r>
        <w:rPr>
          <w:rFonts w:ascii="Cambria" w:hAnsi="Cambria" w:cstheme="majorHAnsi"/>
          <w:bCs/>
          <w:sz w:val="24"/>
          <w:szCs w:val="24"/>
        </w:rPr>
        <w:t>deixar de entregar a documentação exigida para o certame ou não entregar qualquer documento que tenha sido solicitado pelo/a pregoeiro/a durante o certame;</w:t>
      </w:r>
      <w:bookmarkEnd w:id="49"/>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1" w:name="_Ref114668108"/>
      <w:r>
        <w:rPr>
          <w:rFonts w:ascii="Cambria" w:hAnsi="Cambria" w:cstheme="majorHAnsi"/>
          <w:bCs/>
          <w:sz w:val="24"/>
          <w:szCs w:val="24"/>
        </w:rPr>
        <w:lastRenderedPageBreak/>
        <w:t>Salvo em decorrência de fato superveniente devidamente justificado, não mantiver a proposta em especial quando:</w:t>
      </w:r>
      <w:bookmarkEnd w:id="51"/>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r>
        <w:rPr>
          <w:rFonts w:ascii="Cambria" w:hAnsi="Cambria" w:cstheme="majorHAnsi"/>
          <w:bCs/>
          <w:sz w:val="24"/>
          <w:szCs w:val="24"/>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r>
        <w:rPr>
          <w:rFonts w:ascii="Cambria" w:hAnsi="Cambria" w:cstheme="majorHAnsi"/>
          <w:bCs/>
          <w:sz w:val="24"/>
          <w:szCs w:val="24"/>
        </w:rPr>
        <w:t xml:space="preserve">b.2) recusar-se a enviar o detalhamento da proposta quando exigível; </w:t>
      </w:r>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r>
        <w:rPr>
          <w:rFonts w:ascii="Cambria" w:hAnsi="Cambria" w:cstheme="majorHAnsi"/>
          <w:bCs/>
          <w:sz w:val="24"/>
          <w:szCs w:val="24"/>
        </w:rPr>
        <w:t xml:space="preserve">b.3) pedir para ser desclassificado quando encerrada a etapa competitiva; ou </w:t>
      </w:r>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r>
        <w:rPr>
          <w:rFonts w:ascii="Cambria" w:hAnsi="Cambria" w:cstheme="majorHAnsi"/>
          <w:bCs/>
          <w:sz w:val="24"/>
          <w:szCs w:val="24"/>
        </w:rPr>
        <w:t>b.4) deixar de apresentar amostra;</w:t>
      </w:r>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r>
        <w:rPr>
          <w:rFonts w:ascii="Cambria" w:hAnsi="Cambria" w:cstheme="majorHAnsi"/>
          <w:bCs/>
          <w:sz w:val="24"/>
          <w:szCs w:val="24"/>
        </w:rPr>
        <w:t xml:space="preserve">b.5) apresentar proposta ou amostra em desacordo com as especificações do edital; </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2" w:name="_Ref114668139"/>
      <w:r>
        <w:rPr>
          <w:rFonts w:ascii="Cambria" w:hAnsi="Cambria" w:cstheme="majorHAnsi"/>
          <w:bCs/>
          <w:sz w:val="24"/>
          <w:szCs w:val="24"/>
        </w:rPr>
        <w:t>não celebrar contrato ou não entregar a documentação exigida para a assinatura de tais instrumentos, quando convocado dentro do prazo de validade de sua proposta;</w:t>
      </w:r>
      <w:bookmarkEnd w:id="52"/>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recusar-se, sem justificativa, a assinar contrato, ou a aceitar ou retirar o instrumento equivalente no prazo estabelecido pela Administração;</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3" w:name="_Ref114668249"/>
      <w:r>
        <w:rPr>
          <w:rFonts w:ascii="Cambria" w:hAnsi="Cambria" w:cstheme="majorHAnsi"/>
          <w:bCs/>
          <w:sz w:val="24"/>
          <w:szCs w:val="24"/>
        </w:rPr>
        <w:t>apresentar declaração ou documentação falsa exigida para o certame ou prestar declaração falsa durante a licitação</w:t>
      </w:r>
      <w:bookmarkEnd w:id="53"/>
      <w:r>
        <w:rPr>
          <w:rFonts w:ascii="Cambria" w:hAnsi="Cambria" w:cstheme="majorHAnsi"/>
          <w:bCs/>
          <w:sz w:val="24"/>
          <w:szCs w:val="24"/>
        </w:rPr>
        <w:t>;</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4" w:name="_Ref114668245"/>
      <w:r>
        <w:rPr>
          <w:rFonts w:ascii="Cambria" w:hAnsi="Cambria" w:cstheme="majorHAnsi"/>
          <w:bCs/>
          <w:sz w:val="24"/>
          <w:szCs w:val="24"/>
        </w:rPr>
        <w:t>fraudar a licitação</w:t>
      </w:r>
      <w:bookmarkEnd w:id="54"/>
      <w:r>
        <w:rPr>
          <w:rFonts w:ascii="Cambria" w:hAnsi="Cambria" w:cstheme="majorHAnsi"/>
          <w:bCs/>
          <w:sz w:val="24"/>
          <w:szCs w:val="24"/>
        </w:rPr>
        <w:t>;</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5" w:name="_Ref114668247"/>
      <w:r>
        <w:rPr>
          <w:rFonts w:ascii="Cambria" w:hAnsi="Cambria" w:cstheme="majorHAnsi"/>
          <w:bCs/>
          <w:sz w:val="24"/>
          <w:szCs w:val="24"/>
        </w:rPr>
        <w:t>comportar-se de modo inidôneo ou cometer fraude de qualquer natureza, em especial quando:</w:t>
      </w:r>
      <w:bookmarkEnd w:id="55"/>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agir em conluio ou em desconformidade com a lei; </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induzir deliberadamente a erro no julgamento; </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apresentar amostra falsificada ou deteriorada; </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6" w:name="_Ref114668251"/>
      <w:r>
        <w:rPr>
          <w:rFonts w:ascii="Cambria" w:hAnsi="Cambria" w:cstheme="majorHAnsi"/>
          <w:bCs/>
          <w:sz w:val="24"/>
          <w:szCs w:val="24"/>
        </w:rPr>
        <w:t>praticar atos ilícitos com vistas a frustrar os objetivos da licitação</w:t>
      </w:r>
      <w:bookmarkEnd w:id="56"/>
      <w:r>
        <w:rPr>
          <w:rFonts w:ascii="Cambria" w:hAnsi="Cambria" w:cstheme="majorHAnsi"/>
          <w:bCs/>
          <w:sz w:val="24"/>
          <w:szCs w:val="24"/>
        </w:rPr>
        <w:t>;</w:t>
      </w:r>
    </w:p>
    <w:p>
      <w:pPr>
        <w:pStyle w:val="PargrafodaLista"/>
        <w:numPr>
          <w:ilvl w:val="2"/>
          <w:numId w:val="35"/>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bookmarkStart w:id="57" w:name="_Ref114668252"/>
      <w:r>
        <w:rPr>
          <w:rFonts w:ascii="Cambria" w:hAnsi="Cambria" w:cstheme="majorHAnsi"/>
          <w:bCs/>
          <w:sz w:val="24"/>
          <w:szCs w:val="24"/>
        </w:rPr>
        <w:t xml:space="preserve">praticar ato lesivo previsto no </w:t>
      </w:r>
      <w:hyperlink r:id="rId26" w:anchor="art5" w:history="1">
        <w:r>
          <w:rPr>
            <w:rFonts w:ascii="Cambria" w:hAnsi="Cambria" w:cstheme="majorHAnsi"/>
            <w:bCs/>
            <w:sz w:val="24"/>
            <w:szCs w:val="24"/>
          </w:rPr>
          <w:t>art. 5º da Lei n.º 12.846, de 2013</w:t>
        </w:r>
      </w:hyperlink>
      <w:r>
        <w:rPr>
          <w:rFonts w:ascii="Cambria" w:hAnsi="Cambria" w:cstheme="majorHAnsi"/>
          <w:bCs/>
          <w:sz w:val="24"/>
          <w:szCs w:val="24"/>
        </w:rPr>
        <w:t>.</w:t>
      </w:r>
      <w:bookmarkEnd w:id="57"/>
    </w:p>
    <w:bookmarkEnd w:id="50"/>
    <w:p>
      <w:pPr>
        <w:pStyle w:val="PargrafodaLista"/>
        <w:tabs>
          <w:tab w:val="left" w:pos="567"/>
          <w:tab w:val="left" w:pos="851"/>
          <w:tab w:val="left" w:pos="993"/>
          <w:tab w:val="center" w:pos="4873"/>
          <w:tab w:val="left" w:pos="5103"/>
        </w:tabs>
        <w:ind w:left="0"/>
        <w:jc w:val="both"/>
        <w:rPr>
          <w:rFonts w:ascii="Cambria" w:hAnsi="Cambria" w:cstheme="majorHAnsi"/>
          <w:b/>
          <w:sz w:val="24"/>
          <w:szCs w:val="24"/>
        </w:rPr>
      </w:pP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Serão aplicadas ao licitante/adjudicatário que incorrer nas infrações acima descritas, garantida a defesa prévia, sem prejuízo das responsabilidades civil e criminal, as seguintes sanções:</w:t>
      </w:r>
    </w:p>
    <w:p>
      <w:pPr>
        <w:pStyle w:val="PargrafodaLista"/>
        <w:numPr>
          <w:ilvl w:val="2"/>
          <w:numId w:val="38"/>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advertência; </w:t>
      </w:r>
    </w:p>
    <w:p>
      <w:pPr>
        <w:pStyle w:val="PargrafodaLista"/>
        <w:numPr>
          <w:ilvl w:val="2"/>
          <w:numId w:val="38"/>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multa;</w:t>
      </w:r>
    </w:p>
    <w:p>
      <w:pPr>
        <w:pStyle w:val="PargrafodaLista"/>
        <w:numPr>
          <w:ilvl w:val="2"/>
          <w:numId w:val="38"/>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impedimento de licitar e contratar e</w:t>
      </w:r>
    </w:p>
    <w:p>
      <w:pPr>
        <w:pStyle w:val="PargrafodaLista"/>
        <w:numPr>
          <w:ilvl w:val="2"/>
          <w:numId w:val="38"/>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declaração de inidoneidade para licitar ou contratar, enquanto perdurarem os motivos determinantes da punição ou até que seja promovida sua reabilitação perante a própria autoridade que aplicou a penalidade.</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Na aplicação das sanções serão considerados:</w:t>
      </w:r>
    </w:p>
    <w:p>
      <w:pPr>
        <w:pStyle w:val="PargrafodaLista"/>
        <w:numPr>
          <w:ilvl w:val="2"/>
          <w:numId w:val="41"/>
        </w:numPr>
        <w:tabs>
          <w:tab w:val="left" w:pos="284"/>
          <w:tab w:val="left" w:pos="851"/>
          <w:tab w:val="left" w:pos="1276"/>
          <w:tab w:val="left" w:pos="2525"/>
          <w:tab w:val="center" w:pos="4873"/>
          <w:tab w:val="left" w:pos="5103"/>
        </w:tabs>
        <w:spacing w:line="276" w:lineRule="auto"/>
        <w:jc w:val="both"/>
        <w:rPr>
          <w:rFonts w:ascii="Cambria" w:hAnsi="Cambria" w:cstheme="majorHAnsi"/>
          <w:bCs/>
          <w:sz w:val="24"/>
          <w:szCs w:val="24"/>
        </w:rPr>
      </w:pPr>
      <w:r>
        <w:rPr>
          <w:rFonts w:ascii="Cambria" w:hAnsi="Cambria" w:cstheme="majorHAnsi"/>
          <w:bCs/>
          <w:sz w:val="24"/>
          <w:szCs w:val="24"/>
        </w:rPr>
        <w:t>a natureza e a gravidade da infração cometida.</w:t>
      </w:r>
    </w:p>
    <w:p>
      <w:pPr>
        <w:pStyle w:val="PargrafodaLista"/>
        <w:numPr>
          <w:ilvl w:val="2"/>
          <w:numId w:val="41"/>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as peculiaridades do caso concreto</w:t>
      </w:r>
    </w:p>
    <w:p>
      <w:pPr>
        <w:pStyle w:val="PargrafodaLista"/>
        <w:numPr>
          <w:ilvl w:val="2"/>
          <w:numId w:val="41"/>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as circunstâncias agravantes ou atenuantes</w:t>
      </w:r>
    </w:p>
    <w:p>
      <w:pPr>
        <w:pStyle w:val="PargrafodaLista"/>
        <w:numPr>
          <w:ilvl w:val="2"/>
          <w:numId w:val="41"/>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os danos que dela provierem para a Administração Pública</w:t>
      </w:r>
    </w:p>
    <w:p>
      <w:pPr>
        <w:pStyle w:val="PargrafodaLista"/>
        <w:numPr>
          <w:ilvl w:val="2"/>
          <w:numId w:val="41"/>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implantação ou o aperfeiçoamento de programa de integridade, conforme normas e orientações dos órgãos de controle.</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Para fins de dosimetria e cálculo das penalidades acima impostas, estas tomarão como base os parâmetros delineados no tópico a seguir.</w:t>
      </w:r>
    </w:p>
    <w:p>
      <w:pPr>
        <w:pStyle w:val="PargrafodaLista"/>
        <w:tabs>
          <w:tab w:val="left" w:pos="567"/>
          <w:tab w:val="left" w:pos="709"/>
          <w:tab w:val="left" w:pos="851"/>
          <w:tab w:val="left" w:pos="2525"/>
          <w:tab w:val="center" w:pos="4873"/>
          <w:tab w:val="left" w:pos="5103"/>
        </w:tabs>
        <w:ind w:left="0"/>
        <w:jc w:val="both"/>
        <w:rPr>
          <w:rFonts w:ascii="Cambria" w:hAnsi="Cambria" w:cstheme="majorHAnsi"/>
          <w:b/>
          <w:sz w:val="24"/>
          <w:szCs w:val="24"/>
        </w:rPr>
      </w:pPr>
    </w:p>
    <w:p>
      <w:pPr>
        <w:pStyle w:val="PargrafodaLista"/>
        <w:numPr>
          <w:ilvl w:val="1"/>
          <w:numId w:val="31"/>
        </w:numPr>
        <w:tabs>
          <w:tab w:val="left" w:pos="567"/>
          <w:tab w:val="left" w:pos="2525"/>
          <w:tab w:val="center" w:pos="4873"/>
          <w:tab w:val="left" w:pos="5103"/>
        </w:tabs>
        <w:spacing w:line="276" w:lineRule="auto"/>
        <w:ind w:left="0" w:firstLine="0"/>
        <w:jc w:val="both"/>
        <w:rPr>
          <w:rFonts w:ascii="Cambria" w:hAnsi="Cambria" w:cstheme="majorHAnsi"/>
          <w:b/>
          <w:sz w:val="24"/>
          <w:szCs w:val="24"/>
        </w:rPr>
      </w:pPr>
      <w:r>
        <w:rPr>
          <w:rFonts w:ascii="Cambria" w:hAnsi="Cambria" w:cstheme="majorHAnsi"/>
          <w:b/>
          <w:sz w:val="24"/>
          <w:szCs w:val="24"/>
        </w:rPr>
        <w:lastRenderedPageBreak/>
        <w:t xml:space="preserve">Comete infração administrativa, nos termos da </w:t>
      </w:r>
      <w:hyperlink r:id="rId27" w:history="1">
        <w:r>
          <w:rPr>
            <w:rFonts w:ascii="Cambria" w:hAnsi="Cambria" w:cstheme="majorHAnsi"/>
            <w:b/>
            <w:sz w:val="24"/>
            <w:szCs w:val="24"/>
          </w:rPr>
          <w:t>Lei nº 14.133, de 2021</w:t>
        </w:r>
      </w:hyperlink>
      <w:r>
        <w:rPr>
          <w:rFonts w:ascii="Cambria" w:hAnsi="Cambria" w:cstheme="majorHAnsi"/>
          <w:b/>
          <w:sz w:val="24"/>
          <w:szCs w:val="24"/>
        </w:rPr>
        <w:t>, o contratado que, com dolo ou culpa:</w:t>
      </w:r>
    </w:p>
    <w:p>
      <w:pPr>
        <w:pStyle w:val="PargrafodaLista"/>
        <w:numPr>
          <w:ilvl w:val="2"/>
          <w:numId w:val="39"/>
        </w:numPr>
        <w:tabs>
          <w:tab w:val="left" w:pos="284"/>
          <w:tab w:val="left" w:pos="851"/>
          <w:tab w:val="left" w:pos="1276"/>
          <w:tab w:val="left" w:pos="2525"/>
          <w:tab w:val="center" w:pos="4873"/>
          <w:tab w:val="left" w:pos="5103"/>
        </w:tabs>
        <w:spacing w:line="276" w:lineRule="auto"/>
        <w:jc w:val="both"/>
        <w:rPr>
          <w:rFonts w:ascii="Cambria" w:hAnsi="Cambria" w:cstheme="majorHAnsi"/>
          <w:bCs/>
          <w:sz w:val="24"/>
          <w:szCs w:val="24"/>
        </w:rPr>
      </w:pPr>
      <w:r>
        <w:rPr>
          <w:rFonts w:ascii="Cambria" w:hAnsi="Cambria" w:cstheme="majorHAnsi"/>
          <w:bCs/>
          <w:sz w:val="24"/>
          <w:szCs w:val="24"/>
        </w:rPr>
        <w:t>der causa à inexecução parcial do contrato;</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der causa à inexecução parcial do contrato que cause grave dano à Administração ou ao funcionamento dos serviços públicos ou ao interesse coletivo;</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der causa à inexecução total do contrato;</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ensejar o retardamento da execução ou da entrega do objeto da contratação sem motivo justificado;</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apresentar documentação falsa ou prestar declaração falsa durante a execução do contrato;</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praticar ato fraudulento na execução do contrato;</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comportar-se de modo inidôneo ou cometer fraude de qualquer natureza;</w:t>
      </w:r>
    </w:p>
    <w:p>
      <w:pPr>
        <w:pStyle w:val="PargrafodaLista"/>
        <w:numPr>
          <w:ilvl w:val="2"/>
          <w:numId w:val="39"/>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praticar ato lesivo previsto no </w:t>
      </w:r>
      <w:hyperlink r:id="rId28" w:anchor="art5" w:history="1">
        <w:r>
          <w:rPr>
            <w:rFonts w:ascii="Cambria" w:hAnsi="Cambria" w:cstheme="majorHAnsi"/>
            <w:bCs/>
            <w:sz w:val="24"/>
            <w:szCs w:val="24"/>
          </w:rPr>
          <w:t>art. 5º da Lei nº 12.846, de 1º de agosto de 2013</w:t>
        </w:r>
      </w:hyperlink>
      <w:r>
        <w:rPr>
          <w:rFonts w:ascii="Cambria" w:hAnsi="Cambria" w:cstheme="majorHAnsi"/>
          <w:bCs/>
          <w:sz w:val="24"/>
          <w:szCs w:val="24"/>
        </w:rPr>
        <w:t>.</w:t>
      </w:r>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Serão aplicadas ao contratado que incorrer nas infrações acima descritas as seguintes sanções:</w:t>
      </w:r>
    </w:p>
    <w:p>
      <w:pPr>
        <w:pStyle w:val="PargrafodaLista"/>
        <w:numPr>
          <w:ilvl w:val="2"/>
          <w:numId w:val="36"/>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
          <w:sz w:val="24"/>
          <w:szCs w:val="24"/>
        </w:rPr>
        <w:t>Advertência</w:t>
      </w:r>
      <w:r>
        <w:rPr>
          <w:rFonts w:ascii="Cambria" w:hAnsi="Cambria" w:cstheme="majorHAnsi"/>
          <w:bCs/>
          <w:sz w:val="24"/>
          <w:szCs w:val="24"/>
        </w:rPr>
        <w:t>, quando o contratado der causa à inexecução parcial do contrato, sempre que não se justificar a imposição de penalidade mais grave (</w:t>
      </w:r>
      <w:hyperlink r:id="rId29" w:anchor="art156§2" w:history="1">
        <w:r>
          <w:rPr>
            <w:rFonts w:ascii="Cambria" w:hAnsi="Cambria" w:cstheme="majorHAnsi"/>
            <w:bCs/>
            <w:sz w:val="24"/>
            <w:szCs w:val="24"/>
          </w:rPr>
          <w:t xml:space="preserve">art. 156, §2º, da </w:t>
        </w:r>
        <w:bookmarkStart w:id="58" w:name="_Hlk114504069"/>
        <w:r>
          <w:rPr>
            <w:rFonts w:ascii="Cambria" w:hAnsi="Cambria" w:cstheme="majorHAnsi"/>
            <w:bCs/>
            <w:sz w:val="24"/>
            <w:szCs w:val="24"/>
          </w:rPr>
          <w:t>Lei nº 14.133, de 2021</w:t>
        </w:r>
        <w:bookmarkEnd w:id="58"/>
      </w:hyperlink>
      <w:r>
        <w:rPr>
          <w:rFonts w:ascii="Cambria" w:hAnsi="Cambria" w:cstheme="majorHAnsi"/>
          <w:bCs/>
          <w:sz w:val="24"/>
          <w:szCs w:val="24"/>
        </w:rPr>
        <w:t>);</w:t>
      </w:r>
    </w:p>
    <w:p>
      <w:pPr>
        <w:pStyle w:val="PargrafodaLista"/>
        <w:numPr>
          <w:ilvl w:val="2"/>
          <w:numId w:val="36"/>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
          <w:sz w:val="24"/>
          <w:szCs w:val="24"/>
        </w:rPr>
        <w:t>Impedimento de licitar e contratar</w:t>
      </w:r>
      <w:r>
        <w:rPr>
          <w:rFonts w:ascii="Cambria" w:hAnsi="Cambria" w:cstheme="majorHAnsi"/>
          <w:bCs/>
          <w:sz w:val="24"/>
          <w:szCs w:val="24"/>
        </w:rPr>
        <w:t>, quando praticadas as condutas descritas nas alíneas “b”, “c” e “d” do subitem acima, sempre que não se justificar a imposição de penalidade mais grave (</w:t>
      </w:r>
      <w:hyperlink r:id="rId30" w:anchor="art156§4" w:history="1">
        <w:r>
          <w:rPr>
            <w:rFonts w:ascii="Cambria" w:hAnsi="Cambria" w:cstheme="majorHAnsi"/>
            <w:bCs/>
            <w:sz w:val="24"/>
            <w:szCs w:val="24"/>
          </w:rPr>
          <w:t>art. 156, § 4º, da Lei nº 14.133, de 2021</w:t>
        </w:r>
      </w:hyperlink>
      <w:r>
        <w:rPr>
          <w:rFonts w:ascii="Cambria" w:hAnsi="Cambria" w:cstheme="majorHAnsi"/>
          <w:bCs/>
          <w:sz w:val="24"/>
          <w:szCs w:val="24"/>
        </w:rPr>
        <w:t>);</w:t>
      </w:r>
    </w:p>
    <w:p>
      <w:pPr>
        <w:pStyle w:val="PargrafodaLista"/>
        <w:numPr>
          <w:ilvl w:val="2"/>
          <w:numId w:val="36"/>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
          <w:sz w:val="24"/>
          <w:szCs w:val="24"/>
        </w:rPr>
        <w:t>Declaração de inidoneidade para licitar e contratar</w:t>
      </w:r>
      <w:r>
        <w:rPr>
          <w:rFonts w:ascii="Cambria" w:hAnsi="Cambria" w:cstheme="majorHAnsi"/>
          <w:bCs/>
          <w:sz w:val="24"/>
          <w:szCs w:val="24"/>
        </w:rPr>
        <w:t>, quando praticadas as condutas descritas nas alíneas “e”, “f”, “g” e “h” do subitem acima, bem como nas alíneas “b”, “c” e “d”, que justifiquem a imposição de penalidade mais grave (</w:t>
      </w:r>
      <w:hyperlink r:id="rId31" w:anchor="art156§5" w:history="1">
        <w:r>
          <w:rPr>
            <w:rFonts w:ascii="Cambria" w:hAnsi="Cambria" w:cstheme="majorHAnsi"/>
            <w:bCs/>
            <w:sz w:val="24"/>
            <w:szCs w:val="24"/>
          </w:rPr>
          <w:t>art. 156, §5º, da Lei nº 14.133, de 2021</w:t>
        </w:r>
      </w:hyperlink>
      <w:r>
        <w:rPr>
          <w:rFonts w:ascii="Cambria" w:hAnsi="Cambria" w:cstheme="majorHAnsi"/>
          <w:bCs/>
          <w:sz w:val="24"/>
          <w:szCs w:val="24"/>
        </w:rPr>
        <w:t>).</w:t>
      </w:r>
    </w:p>
    <w:p>
      <w:pPr>
        <w:pStyle w:val="PargrafodaLista"/>
        <w:numPr>
          <w:ilvl w:val="2"/>
          <w:numId w:val="36"/>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
          <w:sz w:val="24"/>
          <w:szCs w:val="24"/>
        </w:rPr>
        <w:t>Multa</w:t>
      </w:r>
      <w:r>
        <w:rPr>
          <w:rFonts w:ascii="Cambria" w:hAnsi="Cambria" w:cstheme="majorHAnsi"/>
          <w:bCs/>
          <w:sz w:val="24"/>
          <w:szCs w:val="24"/>
        </w:rPr>
        <w:t>:</w:t>
      </w:r>
    </w:p>
    <w:p>
      <w:pPr>
        <w:tabs>
          <w:tab w:val="left" w:pos="284"/>
          <w:tab w:val="left" w:pos="851"/>
          <w:tab w:val="left" w:pos="1276"/>
          <w:tab w:val="left" w:pos="2525"/>
          <w:tab w:val="center" w:pos="4873"/>
          <w:tab w:val="left" w:pos="5103"/>
        </w:tabs>
        <w:jc w:val="both"/>
        <w:rPr>
          <w:rFonts w:ascii="Cambria" w:hAnsi="Cambria" w:cstheme="majorHAnsi"/>
          <w:bCs/>
          <w:sz w:val="24"/>
          <w:szCs w:val="24"/>
          <w:lang w:eastAsia="en-US"/>
        </w:rPr>
      </w:pPr>
      <w:r>
        <w:rPr>
          <w:rFonts w:ascii="Cambria" w:hAnsi="Cambria" w:cstheme="majorHAnsi"/>
          <w:bCs/>
          <w:sz w:val="24"/>
          <w:szCs w:val="24"/>
          <w:lang w:eastAsia="en-US"/>
        </w:rPr>
        <w:t>d.1) Moratória de 1% (um por cento) por dia de atraso injustificado sobre o valor da parcela inadimplida, até o limite de 30 (trinta) dias;</w:t>
      </w:r>
    </w:p>
    <w:p>
      <w:pPr>
        <w:pStyle w:val="PargrafodaLista"/>
        <w:tabs>
          <w:tab w:val="left" w:pos="284"/>
          <w:tab w:val="left" w:pos="851"/>
          <w:tab w:val="left" w:pos="1276"/>
          <w:tab w:val="left" w:pos="2525"/>
          <w:tab w:val="center" w:pos="4873"/>
          <w:tab w:val="left" w:pos="5103"/>
        </w:tabs>
        <w:ind w:left="0"/>
        <w:jc w:val="both"/>
        <w:rPr>
          <w:rFonts w:ascii="Cambria" w:hAnsi="Cambria" w:cstheme="majorHAnsi"/>
          <w:bCs/>
          <w:sz w:val="24"/>
          <w:szCs w:val="24"/>
        </w:rPr>
      </w:pPr>
      <w:r>
        <w:rPr>
          <w:rFonts w:ascii="Cambria" w:hAnsi="Cambria" w:cstheme="majorHAnsi"/>
          <w:bCs/>
          <w:sz w:val="24"/>
          <w:szCs w:val="24"/>
        </w:rPr>
        <w:t>d.2) Compensatória de 30% (trinta por cento) sobre o valor total do contrato, no caso de inexecução total do objeto.</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aplicação das sanções previstas neste Contrato não exclui, em hipótese alguma, a obrigação de reparação integral do dano causado ao Contratante (</w:t>
      </w:r>
      <w:hyperlink r:id="rId32" w:anchor="art156§9" w:history="1">
        <w:r>
          <w:rPr>
            <w:rFonts w:ascii="Cambria" w:hAnsi="Cambria" w:cstheme="majorHAnsi"/>
            <w:bCs/>
            <w:sz w:val="24"/>
            <w:szCs w:val="24"/>
          </w:rPr>
          <w:t>art. 156, §9º,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Todas as sanções previstas neste Contrato poderão ser aplicadas cumulativamente com a multa (</w:t>
      </w:r>
      <w:hyperlink r:id="rId33" w:anchor="art156§7" w:history="1">
        <w:r>
          <w:rPr>
            <w:rFonts w:ascii="Cambria" w:hAnsi="Cambria" w:cstheme="majorHAnsi"/>
            <w:bCs/>
            <w:sz w:val="24"/>
            <w:szCs w:val="24"/>
          </w:rPr>
          <w:t>art. 156, §7º,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Antes da aplicação da multa será facultada a defesa do interessado no prazo de 05 (CINCO) DIAS úteis, contado da data de sua intimação (</w:t>
      </w:r>
      <w:hyperlink r:id="rId34" w:anchor="art157" w:history="1">
        <w:r>
          <w:rPr>
            <w:rFonts w:ascii="Cambria" w:hAnsi="Cambria" w:cstheme="majorHAnsi"/>
            <w:bCs/>
            <w:sz w:val="24"/>
            <w:szCs w:val="24"/>
          </w:rPr>
          <w:t>art. 157,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5" w:anchor="art156§8" w:history="1">
        <w:r>
          <w:rPr>
            <w:rFonts w:ascii="Cambria" w:hAnsi="Cambria" w:cstheme="majorHAnsi"/>
            <w:bCs/>
            <w:sz w:val="24"/>
            <w:szCs w:val="24"/>
          </w:rPr>
          <w:t>art. 156, §8º,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Previamente ao encaminhamento à cobrança judicial, a multa poderá ser recolhida administrativamente no prazo máximo de 30 (trinta) dias, a contar da data do recebimento da comunicação enviada pela autoridade competente.</w:t>
      </w:r>
      <w:bookmarkStart w:id="59" w:name="_Hlk78351618"/>
      <w:bookmarkEnd w:id="59"/>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 aplicação das sanções realizar-se-á em processo administrativo que assegure o contraditório e a ampla defesa ao Contratado, observando-se o procedimento previsto no caput e parágrafos do </w:t>
      </w:r>
      <w:hyperlink r:id="rId36" w:anchor="art158" w:history="1">
        <w:r>
          <w:rPr>
            <w:rFonts w:ascii="Cambria" w:hAnsi="Cambria" w:cstheme="majorHAnsi"/>
            <w:bCs/>
            <w:sz w:val="24"/>
            <w:szCs w:val="24"/>
          </w:rPr>
          <w:t>art. 158 da Lei nº 14.133, de 2021</w:t>
        </w:r>
      </w:hyperlink>
      <w:r>
        <w:rPr>
          <w:rFonts w:ascii="Cambria" w:hAnsi="Cambria" w:cstheme="majorHAnsi"/>
          <w:bCs/>
          <w:sz w:val="24"/>
          <w:szCs w:val="24"/>
        </w:rPr>
        <w:t>, para as penalidades de impedimento de licitar e contratar e de declaração de inidoneidade para licitar ou contratar.</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Na aplicação das sanções serão considerados (</w:t>
      </w:r>
      <w:hyperlink r:id="rId37" w:anchor="art156§1" w:history="1">
        <w:r>
          <w:rPr>
            <w:rFonts w:ascii="Cambria" w:hAnsi="Cambria" w:cstheme="majorHAnsi"/>
            <w:bCs/>
            <w:sz w:val="24"/>
            <w:szCs w:val="24"/>
          </w:rPr>
          <w:t>art. 156, §1º, da Lei nº 14.133, de 2021</w:t>
        </w:r>
      </w:hyperlink>
      <w:r>
        <w:rPr>
          <w:rFonts w:ascii="Cambria" w:hAnsi="Cambria" w:cstheme="majorHAnsi"/>
          <w:bCs/>
          <w:sz w:val="24"/>
          <w:szCs w:val="24"/>
        </w:rPr>
        <w:t>):</w:t>
      </w:r>
    </w:p>
    <w:p>
      <w:pPr>
        <w:pStyle w:val="PargrafodaLista"/>
        <w:numPr>
          <w:ilvl w:val="2"/>
          <w:numId w:val="37"/>
        </w:numPr>
        <w:tabs>
          <w:tab w:val="left" w:pos="284"/>
          <w:tab w:val="left" w:pos="851"/>
          <w:tab w:val="left" w:pos="1276"/>
          <w:tab w:val="left" w:pos="2525"/>
          <w:tab w:val="center" w:pos="4873"/>
          <w:tab w:val="left" w:pos="5103"/>
        </w:tabs>
        <w:spacing w:line="276" w:lineRule="auto"/>
        <w:jc w:val="both"/>
        <w:rPr>
          <w:rFonts w:ascii="Cambria" w:hAnsi="Cambria" w:cstheme="majorHAnsi"/>
          <w:bCs/>
          <w:sz w:val="24"/>
          <w:szCs w:val="24"/>
        </w:rPr>
      </w:pPr>
      <w:r>
        <w:rPr>
          <w:rFonts w:ascii="Cambria" w:hAnsi="Cambria" w:cstheme="majorHAnsi"/>
          <w:bCs/>
          <w:sz w:val="24"/>
          <w:szCs w:val="24"/>
        </w:rPr>
        <w:t>a natureza e a gravidade da infração cometida;</w:t>
      </w:r>
    </w:p>
    <w:p>
      <w:pPr>
        <w:pStyle w:val="PargrafodaLista"/>
        <w:numPr>
          <w:ilvl w:val="2"/>
          <w:numId w:val="37"/>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as peculiaridades do caso concreto;</w:t>
      </w:r>
    </w:p>
    <w:p>
      <w:pPr>
        <w:pStyle w:val="PargrafodaLista"/>
        <w:numPr>
          <w:ilvl w:val="2"/>
          <w:numId w:val="37"/>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as circunstâncias agravantes ou atenuantes;</w:t>
      </w:r>
    </w:p>
    <w:p>
      <w:pPr>
        <w:pStyle w:val="PargrafodaLista"/>
        <w:numPr>
          <w:ilvl w:val="2"/>
          <w:numId w:val="37"/>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os danos que dela provierem para o Contratante;</w:t>
      </w:r>
    </w:p>
    <w:p>
      <w:pPr>
        <w:pStyle w:val="PargrafodaLista"/>
        <w:numPr>
          <w:ilvl w:val="2"/>
          <w:numId w:val="37"/>
        </w:numPr>
        <w:tabs>
          <w:tab w:val="left" w:pos="284"/>
          <w:tab w:val="left" w:pos="851"/>
          <w:tab w:val="left" w:pos="1276"/>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implantação ou o aperfeiçoamento de programa de integridade, conforme normas e orientações dos órgãos de controle.</w:t>
      </w:r>
    </w:p>
    <w:p>
      <w:pPr>
        <w:pStyle w:val="PargrafodaLista"/>
        <w:numPr>
          <w:ilvl w:val="2"/>
          <w:numId w:val="31"/>
        </w:numPr>
        <w:tabs>
          <w:tab w:val="left" w:pos="567"/>
          <w:tab w:val="left" w:pos="709"/>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Os atos previstos como infrações administrativas na </w:t>
      </w:r>
      <w:hyperlink r:id="rId38" w:history="1">
        <w:r>
          <w:rPr>
            <w:rFonts w:ascii="Cambria" w:hAnsi="Cambria" w:cstheme="majorHAnsi"/>
            <w:bCs/>
            <w:sz w:val="24"/>
            <w:szCs w:val="24"/>
          </w:rPr>
          <w:t>Lei nº 14.133, de 2021</w:t>
        </w:r>
      </w:hyperlink>
      <w:r>
        <w:rPr>
          <w:rFonts w:ascii="Cambria" w:hAnsi="Cambria" w:cstheme="majorHAnsi"/>
          <w:bCs/>
          <w:sz w:val="24"/>
          <w:szCs w:val="24"/>
        </w:rPr>
        <w:t xml:space="preserve">, ou em outras leis de licitações e contratos da Administração Pública que também sejam tipificados como atos lesivos na </w:t>
      </w:r>
      <w:hyperlink r:id="rId39" w:history="1">
        <w:r>
          <w:rPr>
            <w:rFonts w:ascii="Cambria" w:hAnsi="Cambria" w:cstheme="majorHAnsi"/>
            <w:bCs/>
            <w:sz w:val="24"/>
            <w:szCs w:val="24"/>
          </w:rPr>
          <w:t>Lei nº 12.846, de 2013</w:t>
        </w:r>
      </w:hyperlink>
      <w:r>
        <w:rPr>
          <w:rFonts w:ascii="Cambria" w:hAnsi="Cambria" w:cstheme="majorHAnsi"/>
          <w:bCs/>
          <w:sz w:val="24"/>
          <w:szCs w:val="24"/>
        </w:rPr>
        <w:t>, serão apurados e julgados conjuntamente, nos mesmos autos, observados o rito procedimental e autoridade competente definidos na referida Lei (</w:t>
      </w:r>
      <w:hyperlink r:id="rId40" w:history="1">
        <w:r>
          <w:rPr>
            <w:rFonts w:ascii="Cambria" w:hAnsi="Cambria" w:cstheme="majorHAnsi"/>
            <w:bCs/>
            <w:sz w:val="24"/>
            <w:szCs w:val="24"/>
          </w:rPr>
          <w:t>art. 159</w:t>
        </w:r>
      </w:hyperlink>
      <w:r>
        <w:rPr>
          <w:rFonts w:ascii="Cambria" w:hAnsi="Cambria" w:cstheme="majorHAnsi"/>
          <w:bCs/>
          <w:sz w:val="24"/>
          <w:szCs w:val="24"/>
        </w:rPr>
        <w:t>).</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1" w:anchor="art160" w:history="1">
        <w:r>
          <w:rPr>
            <w:rFonts w:ascii="Cambria" w:hAnsi="Cambria" w:cstheme="majorHAnsi"/>
            <w:bCs/>
            <w:sz w:val="24"/>
            <w:szCs w:val="24"/>
          </w:rPr>
          <w:t>art. 160,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2" w:anchor="art161" w:history="1">
        <w:r>
          <w:rPr>
            <w:rFonts w:ascii="Cambria" w:hAnsi="Cambria" w:cstheme="majorHAnsi"/>
            <w:bCs/>
            <w:sz w:val="24"/>
            <w:szCs w:val="24"/>
          </w:rPr>
          <w:t>Art. 161, da Lei nº 14.133, de 2021</w:t>
        </w:r>
      </w:hyperlink>
      <w:r>
        <w:rPr>
          <w:rFonts w:ascii="Cambria" w:hAnsi="Cambria" w:cstheme="majorHAnsi"/>
          <w:bCs/>
          <w:sz w:val="24"/>
          <w:szCs w:val="24"/>
        </w:rPr>
        <w:t>).</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As sanções de impedimento de licitar e contratar e declaração de inidoneidade para licitar ou contratar são passíveis de reabilitação na forma do </w:t>
      </w:r>
      <w:hyperlink r:id="rId43" w:anchor="163" w:history="1">
        <w:r>
          <w:rPr>
            <w:rFonts w:ascii="Cambria" w:hAnsi="Cambria" w:cstheme="majorHAnsi"/>
            <w:bCs/>
            <w:sz w:val="24"/>
            <w:szCs w:val="24"/>
          </w:rPr>
          <w:t>art. 163 da Lei nº 14.133/21</w:t>
        </w:r>
      </w:hyperlink>
      <w:r>
        <w:rPr>
          <w:rFonts w:ascii="Cambria" w:hAnsi="Cambria" w:cstheme="majorHAnsi"/>
          <w:bCs/>
          <w:sz w:val="24"/>
          <w:szCs w:val="24"/>
        </w:rPr>
        <w:t>.</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pPr>
        <w:pStyle w:val="PargrafodaLista"/>
        <w:tabs>
          <w:tab w:val="left" w:pos="567"/>
          <w:tab w:val="left" w:pos="709"/>
          <w:tab w:val="left" w:pos="851"/>
          <w:tab w:val="left" w:pos="2525"/>
          <w:tab w:val="center" w:pos="4873"/>
          <w:tab w:val="left" w:pos="5103"/>
        </w:tabs>
        <w:ind w:left="0"/>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426"/>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DA EXTINÇÃO CONTRATUAL (</w:t>
      </w:r>
      <w:hyperlink r:id="rId44" w:anchor="art92" w:history="1">
        <w:r>
          <w:rPr>
            <w:rFonts w:ascii="Cambria" w:hAnsi="Cambria" w:cstheme="majorHAnsi"/>
            <w:b/>
            <w:sz w:val="24"/>
            <w:szCs w:val="24"/>
          </w:rPr>
          <w:t>art. 92, XIX</w:t>
        </w:r>
      </w:hyperlink>
      <w:r>
        <w:rPr>
          <w:rFonts w:ascii="Cambria" w:hAnsi="Cambria" w:cstheme="majorHAnsi"/>
          <w:b/>
          <w:sz w:val="24"/>
          <w:szCs w:val="24"/>
        </w:rPr>
        <w:t>)</w:t>
      </w:r>
    </w:p>
    <w:p>
      <w:pPr>
        <w:pStyle w:val="PargrafodaLista"/>
        <w:numPr>
          <w:ilvl w:val="1"/>
          <w:numId w:val="31"/>
        </w:numPr>
        <w:tabs>
          <w:tab w:val="left" w:pos="851"/>
          <w:tab w:val="left" w:pos="993"/>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O contrato se extingue quando vencido o prazo nele estipulado, independentemente de terem sido cumpridas ou não as obrigações de ambas as partes contraentes.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contrato pode ser extinto antes do prazo nele fixado, sem ônus para o Contratante, quando esta não dispuser de créditos orçamentários para sua continuidade ou quando entender que o contrato não mais lhe oferece vantagem.</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extinção nesta hipótese ocorrerá na próxima data de aniversário do contrato, desde que haja a notificação do contratado pelo contratante nesse sentido com pelo menos 2 (dois) meses de antecedência desse dia.</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Caso a notificação da não-continuidade do contrato de que trata este subitem ocorra com menos de 2 (dois) meses da data de aniversário, a extinção contratual ocorrerá após 2 (dois) meses da data da comunicação.</w:t>
      </w:r>
    </w:p>
    <w:p>
      <w:pPr>
        <w:pStyle w:val="PargrafodaLista"/>
        <w:numPr>
          <w:ilvl w:val="1"/>
          <w:numId w:val="31"/>
        </w:numPr>
        <w:tabs>
          <w:tab w:val="left" w:pos="567"/>
          <w:tab w:val="left" w:pos="851"/>
          <w:tab w:val="left" w:pos="993"/>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 contrato pode ser extinto antes de cumpridas as obrigações nele estipuladas, ou antes do prazo nele fixado, por algum dos motivos previstos no </w:t>
      </w:r>
      <w:hyperlink r:id="rId45" w:anchor="art137" w:history="1">
        <w:r>
          <w:rPr>
            <w:rFonts w:ascii="Cambria" w:hAnsi="Cambria" w:cstheme="majorHAnsi"/>
            <w:bCs/>
            <w:sz w:val="24"/>
            <w:szCs w:val="24"/>
          </w:rPr>
          <w:t>artigo 137 da Lei nº 14.133/21</w:t>
        </w:r>
      </w:hyperlink>
      <w:r>
        <w:rPr>
          <w:rFonts w:ascii="Cambria" w:hAnsi="Cambria" w:cstheme="majorHAnsi"/>
          <w:bCs/>
          <w:sz w:val="24"/>
          <w:szCs w:val="24"/>
        </w:rPr>
        <w:t>, bem como amigavelmente, assegurados o contraditório e a ampla defesa.</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Nesta hipótese, aplicam-se também os </w:t>
      </w:r>
      <w:hyperlink r:id="rId46" w:anchor="art138" w:history="1">
        <w:r>
          <w:rPr>
            <w:rFonts w:ascii="Cambria" w:hAnsi="Cambria" w:cstheme="majorHAnsi"/>
            <w:bCs/>
            <w:sz w:val="24"/>
            <w:szCs w:val="24"/>
          </w:rPr>
          <w:t>artigos 138 e 139 da mesma Lei</w:t>
        </w:r>
      </w:hyperlink>
      <w:r>
        <w:rPr>
          <w:rFonts w:ascii="Cambria" w:hAnsi="Cambria" w:cstheme="majorHAnsi"/>
          <w:bCs/>
          <w:sz w:val="24"/>
          <w:szCs w:val="24"/>
        </w:rPr>
        <w:t>.</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alteração social ou a modificação da finalidade ou da estrutura da empresa não ensejará a rescisão se não restringir sua capacidade de concluir o contrato.</w:t>
      </w:r>
    </w:p>
    <w:p>
      <w:pPr>
        <w:pStyle w:val="PargrafodaLista"/>
        <w:numPr>
          <w:ilvl w:val="3"/>
          <w:numId w:val="31"/>
        </w:numPr>
        <w:tabs>
          <w:tab w:val="left" w:pos="567"/>
          <w:tab w:val="left" w:pos="851"/>
          <w:tab w:val="left" w:pos="993"/>
          <w:tab w:val="left" w:pos="2525"/>
          <w:tab w:val="left" w:pos="3119"/>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Se a operação implicar mudança da pessoa jurídica contratada, deverá ser formalizado termo aditivo para alteração subjetiva.</w:t>
      </w:r>
    </w:p>
    <w:p>
      <w:pPr>
        <w:pStyle w:val="PargrafodaLista"/>
        <w:numPr>
          <w:ilvl w:val="1"/>
          <w:numId w:val="31"/>
        </w:numPr>
        <w:tabs>
          <w:tab w:val="left" w:pos="567"/>
          <w:tab w:val="left" w:pos="851"/>
          <w:tab w:val="left" w:pos="993"/>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O termo de rescisão, sempre que possível, será precedido:</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Balanço dos eventos contratuais já cumpridos ou parcialmente cumpridos;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Relação dos pagamentos já efetuados e ainda devidos;</w:t>
      </w:r>
    </w:p>
    <w:p>
      <w:pPr>
        <w:pStyle w:val="PargrafodaLista"/>
        <w:numPr>
          <w:ilvl w:val="2"/>
          <w:numId w:val="31"/>
        </w:numPr>
        <w:tabs>
          <w:tab w:val="left" w:pos="567"/>
          <w:tab w:val="left" w:pos="709"/>
          <w:tab w:val="left" w:pos="851"/>
          <w:tab w:val="left" w:pos="2525"/>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Indenizações e multas.</w:t>
      </w:r>
    </w:p>
    <w:p>
      <w:pPr>
        <w:pStyle w:val="PargrafodaLista"/>
        <w:numPr>
          <w:ilvl w:val="1"/>
          <w:numId w:val="31"/>
        </w:numPr>
        <w:tabs>
          <w:tab w:val="left" w:pos="567"/>
          <w:tab w:val="left" w:pos="851"/>
          <w:tab w:val="left" w:pos="993"/>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extinção do contrato não configura óbice para o reconhecimento do desequilíbrio econômico-financeiro, hipótese em que será concedida indenização por meio de termo indenizatório (</w:t>
      </w:r>
      <w:hyperlink r:id="rId47" w:anchor="art131" w:history="1">
        <w:r>
          <w:rPr>
            <w:rFonts w:ascii="Cambria" w:hAnsi="Cambria" w:cstheme="majorHAnsi"/>
            <w:bCs/>
            <w:sz w:val="24"/>
            <w:szCs w:val="24"/>
          </w:rPr>
          <w:t>art. 131, caput, da Lei n.º 14.133, de 2021</w:t>
        </w:r>
      </w:hyperlink>
      <w:r>
        <w:rPr>
          <w:rFonts w:ascii="Cambria" w:hAnsi="Cambria" w:cstheme="majorHAnsi"/>
          <w:bCs/>
          <w:sz w:val="24"/>
          <w:szCs w:val="24"/>
        </w:rPr>
        <w:t xml:space="preserve">). </w:t>
      </w:r>
    </w:p>
    <w:p>
      <w:pPr>
        <w:pStyle w:val="PargrafodaLista"/>
        <w:numPr>
          <w:ilvl w:val="1"/>
          <w:numId w:val="31"/>
        </w:numPr>
        <w:tabs>
          <w:tab w:val="left" w:pos="567"/>
          <w:tab w:val="left" w:pos="851"/>
          <w:tab w:val="left" w:pos="993"/>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A dotação relativa aos exercícios financeiros subsequentes será indicada após aprovação da Lei Orçamentária respectiva e liberação dos créditos correspondentes, mediante apostilamento.</w:t>
      </w:r>
    </w:p>
    <w:p>
      <w:pPr>
        <w:pStyle w:val="PargrafodaLista"/>
        <w:tabs>
          <w:tab w:val="left" w:pos="567"/>
          <w:tab w:val="left" w:pos="851"/>
          <w:tab w:val="left" w:pos="993"/>
          <w:tab w:val="center" w:pos="4873"/>
          <w:tab w:val="left" w:pos="5103"/>
        </w:tabs>
        <w:ind w:left="0"/>
        <w:jc w:val="both"/>
        <w:rPr>
          <w:rFonts w:ascii="Cambria" w:hAnsi="Cambria" w:cstheme="majorHAnsi"/>
          <w:bCs/>
          <w:sz w:val="24"/>
          <w:szCs w:val="24"/>
        </w:rPr>
      </w:pPr>
    </w:p>
    <w:p>
      <w:pPr>
        <w:pStyle w:val="PargrafodaLista"/>
        <w:numPr>
          <w:ilvl w:val="0"/>
          <w:numId w:val="31"/>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000099"/>
        <w:tabs>
          <w:tab w:val="left" w:pos="426"/>
          <w:tab w:val="left" w:pos="2525"/>
          <w:tab w:val="center" w:pos="4873"/>
          <w:tab w:val="left" w:pos="5103"/>
        </w:tabs>
        <w:spacing w:after="200" w:line="276" w:lineRule="auto"/>
        <w:ind w:left="0" w:firstLine="0"/>
        <w:jc w:val="both"/>
        <w:rPr>
          <w:rFonts w:ascii="Cambria" w:hAnsi="Cambria" w:cstheme="majorHAnsi"/>
          <w:b/>
          <w:sz w:val="24"/>
          <w:szCs w:val="24"/>
        </w:rPr>
      </w:pPr>
      <w:r>
        <w:rPr>
          <w:rFonts w:ascii="Cambria" w:hAnsi="Cambria" w:cstheme="majorHAnsi"/>
          <w:b/>
          <w:sz w:val="24"/>
          <w:szCs w:val="24"/>
        </w:rPr>
        <w:t>DOS CASOS OMISSOS (</w:t>
      </w:r>
      <w:hyperlink r:id="rId48" w:anchor="art92" w:history="1">
        <w:r>
          <w:rPr>
            <w:rFonts w:ascii="Cambria" w:hAnsi="Cambria" w:cstheme="majorHAnsi"/>
            <w:b/>
            <w:sz w:val="24"/>
            <w:szCs w:val="24"/>
          </w:rPr>
          <w:t>art. 92, III</w:t>
        </w:r>
      </w:hyperlink>
      <w:r>
        <w:rPr>
          <w:rFonts w:ascii="Cambria" w:hAnsi="Cambria" w:cstheme="majorHAnsi"/>
          <w:b/>
          <w:sz w:val="24"/>
          <w:szCs w:val="24"/>
        </w:rPr>
        <w:t>)</w:t>
      </w:r>
    </w:p>
    <w:p>
      <w:pPr>
        <w:pStyle w:val="PargrafodaLista"/>
        <w:numPr>
          <w:ilvl w:val="1"/>
          <w:numId w:val="31"/>
        </w:numPr>
        <w:tabs>
          <w:tab w:val="left" w:pos="567"/>
          <w:tab w:val="left" w:pos="851"/>
          <w:tab w:val="left" w:pos="993"/>
          <w:tab w:val="center" w:pos="4873"/>
          <w:tab w:val="left" w:pos="5103"/>
        </w:tabs>
        <w:spacing w:line="276" w:lineRule="auto"/>
        <w:ind w:left="0" w:firstLine="0"/>
        <w:jc w:val="both"/>
        <w:rPr>
          <w:rFonts w:ascii="Cambria" w:hAnsi="Cambria" w:cstheme="majorHAnsi"/>
          <w:bCs/>
          <w:sz w:val="24"/>
          <w:szCs w:val="24"/>
        </w:rPr>
      </w:pPr>
      <w:r>
        <w:rPr>
          <w:rFonts w:ascii="Cambria" w:hAnsi="Cambria" w:cstheme="majorHAnsi"/>
          <w:bCs/>
          <w:sz w:val="24"/>
          <w:szCs w:val="24"/>
        </w:rPr>
        <w:t xml:space="preserve">Os casos omissos serão decididos pelo(s) órgão(s) demandante(s), segundo as disposições contidas na Lei </w:t>
      </w:r>
      <w:hyperlink r:id="rId49" w:history="1">
        <w:r>
          <w:rPr>
            <w:rFonts w:ascii="Cambria" w:hAnsi="Cambria" w:cstheme="majorHAnsi"/>
            <w:bCs/>
            <w:sz w:val="24"/>
            <w:szCs w:val="24"/>
          </w:rPr>
          <w:t>nº 14.133, de 2021</w:t>
        </w:r>
      </w:hyperlink>
      <w:r>
        <w:rPr>
          <w:rFonts w:ascii="Cambria" w:hAnsi="Cambria" w:cstheme="majorHAnsi"/>
          <w:bCs/>
          <w:sz w:val="24"/>
          <w:szCs w:val="24"/>
        </w:rPr>
        <w:t>, nos regulamentos e normas locais específicas, nas normas federais aplicáveis e, subsidiariamente, pelas normas e princípios gerais em Direito Admitidas.</w:t>
      </w:r>
    </w:p>
    <w:p>
      <w:pPr>
        <w:tabs>
          <w:tab w:val="left" w:pos="5103"/>
        </w:tabs>
        <w:spacing w:line="259" w:lineRule="auto"/>
        <w:rPr>
          <w:rFonts w:ascii="Cambria" w:hAnsi="Cambria" w:cstheme="majorHAnsi"/>
          <w:b/>
          <w:sz w:val="24"/>
          <w:szCs w:val="24"/>
          <w:lang w:eastAsia="en-US"/>
        </w:rPr>
      </w:pPr>
    </w:p>
    <w:p>
      <w:pPr>
        <w:tabs>
          <w:tab w:val="left" w:pos="5103"/>
        </w:tabs>
        <w:rPr>
          <w:rFonts w:ascii="Cambria" w:hAnsi="Cambria" w:cstheme="majorHAnsi"/>
          <w:b/>
          <w:sz w:val="24"/>
          <w:szCs w:val="24"/>
          <w:lang w:eastAsia="en-US"/>
        </w:rPr>
      </w:pPr>
      <w:r>
        <w:rPr>
          <w:rFonts w:ascii="Cambria" w:hAnsi="Cambria" w:cstheme="majorHAnsi"/>
          <w:b/>
          <w:sz w:val="24"/>
          <w:szCs w:val="24"/>
        </w:rPr>
        <w:br w:type="page"/>
      </w:r>
    </w:p>
    <w:p>
      <w:pPr>
        <w:pStyle w:val="PargrafodaLista"/>
        <w:shd w:val="clear" w:color="auto" w:fill="000099"/>
        <w:tabs>
          <w:tab w:val="left" w:pos="284"/>
          <w:tab w:val="left" w:pos="5103"/>
        </w:tabs>
        <w:autoSpaceDE w:val="0"/>
        <w:autoSpaceDN w:val="0"/>
        <w:adjustRightInd w:val="0"/>
        <w:ind w:left="0"/>
        <w:jc w:val="center"/>
        <w:rPr>
          <w:rFonts w:ascii="Cambria" w:hAnsi="Cambria" w:cstheme="majorHAnsi"/>
          <w:b/>
          <w:sz w:val="24"/>
          <w:szCs w:val="24"/>
        </w:rPr>
      </w:pPr>
      <w:r>
        <w:rPr>
          <w:rFonts w:ascii="Cambria" w:hAnsi="Cambria" w:cstheme="majorHAnsi"/>
          <w:b/>
          <w:sz w:val="24"/>
          <w:szCs w:val="24"/>
        </w:rPr>
        <w:lastRenderedPageBreak/>
        <w:t>ANEXO I</w:t>
      </w:r>
    </w:p>
    <w:p>
      <w:pPr>
        <w:pStyle w:val="PargrafodaLista"/>
        <w:tabs>
          <w:tab w:val="left" w:pos="284"/>
          <w:tab w:val="left" w:pos="5103"/>
        </w:tabs>
        <w:ind w:left="0"/>
        <w:rPr>
          <w:rFonts w:ascii="Cambria" w:hAnsi="Cambria" w:cstheme="majorHAnsi"/>
          <w:b/>
          <w:sz w:val="24"/>
          <w:szCs w:val="24"/>
        </w:rPr>
      </w:pPr>
      <w:r>
        <w:rPr>
          <w:rFonts w:ascii="Cambria" w:hAnsi="Cambria" w:cstheme="majorHAnsi"/>
          <w:b/>
          <w:sz w:val="24"/>
          <w:szCs w:val="24"/>
        </w:rPr>
        <w:t>1. DOS ITENS/LOTES:</w:t>
      </w:r>
    </w:p>
    <w:p>
      <w:pPr>
        <w:pStyle w:val="PargrafodaLista"/>
        <w:tabs>
          <w:tab w:val="left" w:pos="284"/>
          <w:tab w:val="left" w:pos="5103"/>
        </w:tabs>
        <w:autoSpaceDE w:val="0"/>
        <w:autoSpaceDN w:val="0"/>
        <w:adjustRightInd w:val="0"/>
        <w:ind w:left="0"/>
        <w:jc w:val="both"/>
        <w:rPr>
          <w:rFonts w:ascii="Cambria" w:hAnsi="Cambria" w:cstheme="majorHAnsi"/>
          <w:bCs/>
          <w:sz w:val="24"/>
          <w:szCs w:val="24"/>
        </w:rPr>
      </w:pPr>
      <w:r>
        <w:rPr>
          <w:rFonts w:ascii="Cambria" w:hAnsi="Cambria" w:cstheme="majorHAnsi"/>
          <w:bCs/>
          <w:sz w:val="24"/>
          <w:szCs w:val="24"/>
        </w:rPr>
        <w:t xml:space="preserve">1.1. </w:t>
      </w:r>
      <w:r>
        <w:rPr>
          <w:rFonts w:ascii="Cambria" w:hAnsi="Cambria" w:cstheme="majorHAnsi"/>
          <w:b/>
          <w:sz w:val="24"/>
          <w:szCs w:val="24"/>
        </w:rPr>
        <w:t>Justificativa quanto ao quantitativo:</w:t>
      </w:r>
      <w:r>
        <w:rPr>
          <w:rFonts w:ascii="Cambria" w:hAnsi="Cambria" w:cstheme="majorHAnsi"/>
          <w:bCs/>
          <w:sz w:val="24"/>
          <w:szCs w:val="24"/>
        </w:rPr>
        <w:t xml:space="preserve"> A definição dos quantitativos deu-se com base em levantamento pautado pelo histórico de utilização de exercícios anteriores e/ou em consonância com as necessidades das possíveis contratação prospectadas a longo prazo de vigência contratual, estipuladas por este(s) órgãos(s).</w:t>
      </w:r>
    </w:p>
    <w:p>
      <w:pPr>
        <w:pStyle w:val="PargrafodaLista"/>
        <w:tabs>
          <w:tab w:val="left" w:pos="284"/>
          <w:tab w:val="left" w:pos="5103"/>
        </w:tabs>
        <w:autoSpaceDE w:val="0"/>
        <w:autoSpaceDN w:val="0"/>
        <w:adjustRightInd w:val="0"/>
        <w:ind w:left="0"/>
        <w:jc w:val="both"/>
        <w:rPr>
          <w:rFonts w:ascii="Cambria" w:hAnsi="Cambria" w:cstheme="majorHAnsi"/>
          <w:bCs/>
          <w:sz w:val="24"/>
          <w:szCs w:val="24"/>
        </w:rPr>
      </w:pPr>
      <w:r>
        <w:rPr>
          <w:rFonts w:ascii="Cambria" w:hAnsi="Cambria" w:cstheme="majorHAnsi"/>
          <w:bCs/>
          <w:sz w:val="24"/>
          <w:szCs w:val="24"/>
        </w:rPr>
        <w:t>1.2. Os quantitativos totais estipulados, bem como, a definição dos parâmetros e quantitativos para efeitos de formulação de proposta de preços constam do Anexo I deste Projeto Básico/Termo de Referência.</w:t>
      </w:r>
    </w:p>
    <w:p>
      <w:pPr>
        <w:pStyle w:val="PargrafodaLista"/>
        <w:tabs>
          <w:tab w:val="left" w:pos="284"/>
          <w:tab w:val="left" w:pos="5103"/>
        </w:tabs>
        <w:autoSpaceDE w:val="0"/>
        <w:autoSpaceDN w:val="0"/>
        <w:adjustRightInd w:val="0"/>
        <w:ind w:left="0"/>
        <w:rPr>
          <w:rFonts w:ascii="Cambria" w:hAnsi="Cambria" w:cstheme="majorHAnsi"/>
          <w:b/>
          <w:sz w:val="24"/>
          <w:szCs w:val="24"/>
        </w:rPr>
      </w:pPr>
    </w:p>
    <w:p>
      <w:pPr>
        <w:tabs>
          <w:tab w:val="left" w:pos="284"/>
          <w:tab w:val="left" w:pos="5103"/>
        </w:tabs>
        <w:autoSpaceDE w:val="0"/>
        <w:autoSpaceDN w:val="0"/>
        <w:adjustRightInd w:val="0"/>
        <w:jc w:val="both"/>
        <w:rPr>
          <w:rFonts w:ascii="Cambria" w:hAnsi="Cambria" w:cstheme="majorHAnsi"/>
          <w:b/>
          <w:sz w:val="24"/>
          <w:szCs w:val="24"/>
        </w:rPr>
      </w:pPr>
      <w:r>
        <w:rPr>
          <w:rFonts w:ascii="Cambria" w:hAnsi="Cambria" w:cstheme="majorHAnsi"/>
          <w:b/>
          <w:sz w:val="24"/>
          <w:szCs w:val="24"/>
        </w:rPr>
        <w:t>A) DOS QUANTITATIVOS TOTAIS DA LICITAÇÃO, OBEDECENDO A DISPOSIÇÃO DOS ITENS QUANTO A FORMULAÇÃO DAS PROPOSTAS DE PREÇOS (EM ATENDIMENTO AOS INCISOS I E III DO ART. 48 DA LEI Nº 123/2006).</w:t>
      </w:r>
    </w:p>
    <w:p>
      <w:pPr>
        <w:tabs>
          <w:tab w:val="left" w:pos="5103"/>
        </w:tabs>
        <w:spacing w:line="259" w:lineRule="auto"/>
        <w:rPr>
          <w:rFonts w:ascii="Cambria" w:hAnsi="Cambria" w:cstheme="majorHAnsi"/>
          <w:b/>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8"/>
        <w:gridCol w:w="4534"/>
        <w:gridCol w:w="824"/>
        <w:gridCol w:w="1009"/>
        <w:gridCol w:w="1215"/>
        <w:gridCol w:w="1427"/>
      </w:tblGrid>
      <w:tr>
        <w:trPr>
          <w:trHeight w:val="135"/>
          <w:jc w:val="center"/>
        </w:trPr>
        <w:tc>
          <w:tcPr>
            <w:tcW w:w="374" w:type="pct"/>
            <w:shd w:val="clear" w:color="auto" w:fill="000099"/>
            <w:vAlign w:val="center"/>
            <w:hideMark/>
          </w:tcPr>
          <w:p>
            <w:pPr>
              <w:tabs>
                <w:tab w:val="left" w:pos="5103"/>
              </w:tabs>
              <w:jc w:val="center"/>
              <w:rPr>
                <w:rFonts w:ascii="Cambria" w:hAnsi="Cambria"/>
                <w:b/>
                <w:bCs/>
                <w:sz w:val="18"/>
                <w:szCs w:val="18"/>
              </w:rPr>
            </w:pPr>
            <w:r>
              <w:rPr>
                <w:rFonts w:ascii="Cambria" w:hAnsi="Cambria"/>
                <w:b/>
                <w:bCs/>
                <w:sz w:val="18"/>
                <w:szCs w:val="18"/>
              </w:rPr>
              <w:t>ITEM</w:t>
            </w:r>
          </w:p>
        </w:tc>
        <w:tc>
          <w:tcPr>
            <w:tcW w:w="2328" w:type="pct"/>
            <w:shd w:val="clear" w:color="auto" w:fill="000099"/>
            <w:vAlign w:val="center"/>
            <w:hideMark/>
          </w:tcPr>
          <w:p>
            <w:pPr>
              <w:tabs>
                <w:tab w:val="left" w:pos="5103"/>
              </w:tabs>
              <w:jc w:val="center"/>
              <w:rPr>
                <w:rFonts w:ascii="Cambria" w:hAnsi="Cambria"/>
                <w:b/>
                <w:bCs/>
                <w:sz w:val="18"/>
                <w:szCs w:val="18"/>
              </w:rPr>
            </w:pPr>
            <w:r>
              <w:rPr>
                <w:rFonts w:ascii="Cambria" w:hAnsi="Cambria"/>
                <w:b/>
                <w:bCs/>
                <w:sz w:val="18"/>
                <w:szCs w:val="18"/>
              </w:rPr>
              <w:t>ESPECIFICAÇÃO</w:t>
            </w:r>
          </w:p>
        </w:tc>
        <w:tc>
          <w:tcPr>
            <w:tcW w:w="423" w:type="pct"/>
            <w:shd w:val="clear" w:color="auto" w:fill="000099"/>
            <w:vAlign w:val="center"/>
            <w:hideMark/>
          </w:tcPr>
          <w:p>
            <w:pPr>
              <w:tabs>
                <w:tab w:val="left" w:pos="5103"/>
              </w:tabs>
              <w:jc w:val="center"/>
              <w:rPr>
                <w:rFonts w:ascii="Cambria" w:hAnsi="Cambria"/>
                <w:b/>
                <w:bCs/>
                <w:sz w:val="18"/>
                <w:szCs w:val="18"/>
              </w:rPr>
            </w:pPr>
            <w:r>
              <w:rPr>
                <w:rFonts w:ascii="Cambria" w:hAnsi="Cambria"/>
                <w:b/>
                <w:bCs/>
                <w:sz w:val="18"/>
                <w:szCs w:val="18"/>
              </w:rPr>
              <w:t>UND.</w:t>
            </w:r>
          </w:p>
        </w:tc>
        <w:tc>
          <w:tcPr>
            <w:tcW w:w="518" w:type="pct"/>
            <w:shd w:val="clear" w:color="auto" w:fill="000099"/>
            <w:vAlign w:val="center"/>
          </w:tcPr>
          <w:p>
            <w:pPr>
              <w:tabs>
                <w:tab w:val="left" w:pos="5103"/>
              </w:tabs>
              <w:jc w:val="center"/>
              <w:rPr>
                <w:rFonts w:ascii="Cambria" w:hAnsi="Cambria"/>
                <w:b/>
                <w:bCs/>
                <w:sz w:val="18"/>
                <w:szCs w:val="18"/>
              </w:rPr>
            </w:pPr>
            <w:r>
              <w:rPr>
                <w:rFonts w:ascii="Cambria" w:hAnsi="Cambria"/>
                <w:b/>
                <w:bCs/>
                <w:sz w:val="18"/>
                <w:szCs w:val="18"/>
              </w:rPr>
              <w:t>QUANT.</w:t>
            </w:r>
          </w:p>
        </w:tc>
        <w:tc>
          <w:tcPr>
            <w:tcW w:w="624" w:type="pct"/>
            <w:shd w:val="clear" w:color="auto" w:fill="000099"/>
          </w:tcPr>
          <w:p>
            <w:pPr>
              <w:tabs>
                <w:tab w:val="left" w:pos="5103"/>
              </w:tabs>
              <w:jc w:val="center"/>
              <w:rPr>
                <w:rFonts w:ascii="Cambria" w:hAnsi="Cambria"/>
                <w:b/>
                <w:bCs/>
                <w:sz w:val="18"/>
                <w:szCs w:val="18"/>
              </w:rPr>
            </w:pPr>
            <w:r>
              <w:rPr>
                <w:rFonts w:ascii="Cambria" w:hAnsi="Cambria"/>
                <w:b/>
                <w:bCs/>
                <w:sz w:val="18"/>
                <w:szCs w:val="18"/>
              </w:rPr>
              <w:t>VLR UNIT</w:t>
            </w:r>
          </w:p>
        </w:tc>
        <w:tc>
          <w:tcPr>
            <w:tcW w:w="733" w:type="pct"/>
            <w:shd w:val="clear" w:color="auto" w:fill="000099"/>
          </w:tcPr>
          <w:p>
            <w:pPr>
              <w:tabs>
                <w:tab w:val="left" w:pos="5103"/>
              </w:tabs>
              <w:jc w:val="center"/>
              <w:rPr>
                <w:rFonts w:ascii="Cambria" w:hAnsi="Cambria"/>
                <w:b/>
                <w:bCs/>
                <w:sz w:val="18"/>
                <w:szCs w:val="18"/>
              </w:rPr>
            </w:pPr>
            <w:r>
              <w:rPr>
                <w:rFonts w:ascii="Cambria" w:hAnsi="Cambria"/>
                <w:b/>
                <w:bCs/>
                <w:sz w:val="18"/>
                <w:szCs w:val="18"/>
              </w:rPr>
              <w:t>VLR TOTAL</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01</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SURF ABDOMINAL INDIVIDUAL Referente a Prestação de serviços na Fabricação de Surf Abdominal Individual, produzido a partir de tubos industrializados a vapor e chapa preta de alta resistência, sob dimensões de 3” ½, 2”, 1” ½ e 3/16 com espessuras mínimas de 2,00 mm orifícios tubulares: extremidades superiores, inferiores e móveis blindados em chapa 14, tornandoo insensível a penetração de água utilizando eixos maciços e usinados para rolamentos duplos, com serviços de soldagem, pintura, aplicação de logomarca, montagem, instalação com chumbamento em cimento</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R$ 8.665,00</w:t>
            </w:r>
          </w:p>
        </w:tc>
        <w:tc>
          <w:tcPr>
            <w:tcW w:w="733" w:type="pct"/>
            <w:vAlign w:val="center"/>
          </w:tcPr>
          <w:p>
            <w:pPr>
              <w:tabs>
                <w:tab w:val="left" w:pos="5103"/>
              </w:tabs>
              <w:jc w:val="center"/>
              <w:rPr>
                <w:rFonts w:ascii="Cambria" w:hAnsi="Cambria"/>
                <w:sz w:val="18"/>
                <w:szCs w:val="18"/>
              </w:rPr>
            </w:pPr>
            <w:r>
              <w:rPr>
                <w:rFonts w:ascii="Cambria" w:hAnsi="Cambria"/>
                <w:sz w:val="18"/>
                <w:szCs w:val="18"/>
              </w:rPr>
              <w:t>R$ 34.660,00</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02</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BARRAS TRIPLAS ASSIMÉTRICA HORIZONTAL ELEVAÇÃO Referente a Prestação de serviços na Fabricação de Barras Triplas Assimétricas, Horizontal Elevação produzido a partir de tubos industrializados a vapor e chapa preta de alta resistência, sob dimensões de 3” ½, 1” e 3/16 com espessuras mínimas de 2,00 mm orifícios tubulares: extremidades superiores blindadas em chapa 14, tornandoo insensível a penetração de água, com serviços de soldagem, pintura, aplicação de logomarca, montagem, instalação com chumbamento em cimento</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R$ 11.914,00</w:t>
            </w:r>
          </w:p>
        </w:tc>
        <w:tc>
          <w:tcPr>
            <w:tcW w:w="733" w:type="pct"/>
            <w:vAlign w:val="center"/>
          </w:tcPr>
          <w:p>
            <w:pPr>
              <w:tabs>
                <w:tab w:val="left" w:pos="5103"/>
              </w:tabs>
              <w:jc w:val="center"/>
              <w:rPr>
                <w:rFonts w:ascii="Cambria" w:hAnsi="Cambria"/>
                <w:sz w:val="18"/>
                <w:szCs w:val="18"/>
              </w:rPr>
            </w:pPr>
            <w:r>
              <w:rPr>
                <w:rFonts w:ascii="Cambria" w:hAnsi="Cambria"/>
                <w:sz w:val="18"/>
                <w:szCs w:val="18"/>
              </w:rPr>
              <w:t>R$ 47.656,00</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03</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ROTAÇÃO VERTICAL COM DUPLA DIAGONAL Referente a Prestação de serviços na Fabricação de Rotação Vertical com Dupla Diagonal, produzido a partir de tubos industrializados a vapor e chapa preta de alta resistência, sob dimensões de 3” ½, 2”, 1”, ¾ e 3/16 com espessuras mínimas de 2,00 mm orifícios tubulares: extremidades superiores, inferiores e móveis blindados em chapa 14, tornandoo insensível a penetração de água utilizando eixos maciços e usinados para rolamentos duplos, com serviços de soldagem, pintura, aplicação de logomarca, montagem, instalação com chumbamento em cimento</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R$ 9.088,33</w:t>
            </w:r>
          </w:p>
        </w:tc>
        <w:tc>
          <w:tcPr>
            <w:tcW w:w="733" w:type="pct"/>
            <w:vAlign w:val="center"/>
          </w:tcPr>
          <w:p>
            <w:pPr>
              <w:tabs>
                <w:tab w:val="left" w:pos="5103"/>
              </w:tabs>
              <w:jc w:val="center"/>
              <w:rPr>
                <w:rFonts w:ascii="Cambria" w:hAnsi="Cambria"/>
                <w:sz w:val="18"/>
                <w:szCs w:val="18"/>
              </w:rPr>
            </w:pPr>
            <w:r>
              <w:rPr>
                <w:rFonts w:ascii="Cambria" w:hAnsi="Cambria"/>
                <w:sz w:val="18"/>
                <w:szCs w:val="18"/>
              </w:rPr>
              <w:t>R$ 36.353,32</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04</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 xml:space="preserve">SIMULADOR DE CAVALGADA INDIVIDUAL Referente a Prestação de serviços na Fabricação de Simulador de Cavalgada Individual, produzido a partir de tubos industrializados a vapor e chapa preta de alta resistência, sob dimensões de 2” ½, 2”, 1” ½, ¼ e 1” com espessuras mínimas de 2,00 mm orifícios tubulares: extremidades superiores, inferiores e móveis blindados em chapa 14, tornandoo insensível a penetração de água utilizando eixos maciços e usinados para rolamentos duplos, com </w:t>
            </w:r>
            <w:r>
              <w:rPr>
                <w:rFonts w:ascii="Cambria" w:hAnsi="Cambria"/>
                <w:sz w:val="18"/>
                <w:szCs w:val="18"/>
              </w:rPr>
              <w:lastRenderedPageBreak/>
              <w:t>serviços de soldagem, pintura, aplicação de logomarca, montagem, instalação com chumbamento em cimento</w:t>
            </w:r>
          </w:p>
        </w:tc>
        <w:tc>
          <w:tcPr>
            <w:tcW w:w="423" w:type="pct"/>
            <w:vAlign w:val="center"/>
          </w:tcPr>
          <w:p>
            <w:pPr>
              <w:tabs>
                <w:tab w:val="left" w:pos="5103"/>
              </w:tabs>
              <w:jc w:val="center"/>
              <w:rPr>
                <w:rFonts w:ascii="Cambria" w:hAnsi="Cambria"/>
                <w:sz w:val="18"/>
                <w:szCs w:val="18"/>
              </w:rPr>
            </w:pPr>
            <w:r>
              <w:rPr>
                <w:rFonts w:ascii="Cambria" w:hAnsi="Cambria"/>
                <w:sz w:val="18"/>
                <w:szCs w:val="18"/>
              </w:rPr>
              <w:lastRenderedPageBreak/>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R$ 8.666,50</w:t>
            </w:r>
          </w:p>
        </w:tc>
        <w:tc>
          <w:tcPr>
            <w:tcW w:w="733" w:type="pct"/>
            <w:vAlign w:val="center"/>
          </w:tcPr>
          <w:p>
            <w:pPr>
              <w:tabs>
                <w:tab w:val="left" w:pos="5103"/>
              </w:tabs>
              <w:jc w:val="center"/>
              <w:rPr>
                <w:rFonts w:ascii="Cambria" w:hAnsi="Cambria"/>
                <w:sz w:val="18"/>
                <w:szCs w:val="18"/>
              </w:rPr>
            </w:pPr>
            <w:r>
              <w:rPr>
                <w:rFonts w:ascii="Cambria" w:hAnsi="Cambria"/>
                <w:sz w:val="18"/>
                <w:szCs w:val="18"/>
              </w:rPr>
              <w:t>R$ 34.666,00</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lastRenderedPageBreak/>
              <w:t>05</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SIMULADOR DE CAMINHADA INDIVIDUAL Referente a Prestação de serviços na Fabricação de Simulador de Caminhada Individual, produzido a partir de tubos industrializados a vapor e chapa preta de alta resistência, sob dimensões de 2” ½, 2” e 1” ½ com espessuras mínimas de 2,00 mm orifícios tubulares: extremidades superiores, inferiores e móveis blindados em chapa 14, tornandoo insensível a penetração de água utilizando eixos maciços e usinados para rolamentos duplos, com serviços de soldagem, pintura, aplicação de logomarca, montagem, instalação com chumbamento em cimento</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R$ 9.225,33</w:t>
            </w:r>
          </w:p>
        </w:tc>
        <w:tc>
          <w:tcPr>
            <w:tcW w:w="733" w:type="pct"/>
            <w:vAlign w:val="center"/>
          </w:tcPr>
          <w:p>
            <w:pPr>
              <w:tabs>
                <w:tab w:val="left" w:pos="5103"/>
              </w:tabs>
              <w:jc w:val="center"/>
              <w:rPr>
                <w:rFonts w:ascii="Cambria" w:hAnsi="Cambria"/>
                <w:sz w:val="18"/>
                <w:szCs w:val="18"/>
              </w:rPr>
            </w:pPr>
            <w:r>
              <w:rPr>
                <w:rFonts w:ascii="Cambria" w:hAnsi="Cambria"/>
                <w:sz w:val="18"/>
                <w:szCs w:val="18"/>
              </w:rPr>
              <w:t>R$ 36.901,32</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06</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BARRAS PARALELAS COM TRAVE DE EQUILÍBRIO COM CADEIRAS Referente a Prestação de serviços na Fabricação de Barras Paralelas com Trave de Equilíbrio e Cadeiras para Descanso produzido a partir de tubos industrializados a vapor e chapa preta de alta resistência, sob dimensões de 3” ½, 1” e 3/16 com espessuras mínimas de 2,00 mm orifícios tubulares: extremidades superiores blindadas em chapa 14, tornando-o insensível a penetração de água, com serviços de soldagem, pintura, aplicação de logomarca, montagem, instalação com chumbamento em cimento. TRAVE DE EQUILÍBRIO: Referente a Prestação de serviços na Fabricação de equipamento a partir de tubos e chapas preta de alta resistência, sob dimensões de 3” ½, 100×40 e 3/16 com espessuras mínimas de 2,00 mm orifícios tubulares: extremidades superiores laterais blindadas em chapa 14, tornando-o insensível a penetração de água.</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R$ 7.849,67</w:t>
            </w:r>
          </w:p>
        </w:tc>
        <w:tc>
          <w:tcPr>
            <w:tcW w:w="733" w:type="pct"/>
            <w:vAlign w:val="center"/>
          </w:tcPr>
          <w:p>
            <w:pPr>
              <w:tabs>
                <w:tab w:val="left" w:pos="5103"/>
              </w:tabs>
              <w:jc w:val="center"/>
              <w:rPr>
                <w:rFonts w:ascii="Cambria" w:hAnsi="Cambria"/>
                <w:sz w:val="18"/>
                <w:szCs w:val="18"/>
              </w:rPr>
            </w:pPr>
            <w:r>
              <w:rPr>
                <w:rFonts w:ascii="Cambria" w:hAnsi="Cambria"/>
                <w:sz w:val="18"/>
                <w:szCs w:val="18"/>
              </w:rPr>
              <w:t>R$ 31.398,68</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07</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SIMULADOR DE REMADA SENTADA INDIVIDUAL Referente a Prestação de serviços na Fabricação de Simulador de Remada Sentada Individual, produzido a partir de tubos industrializados a vapor e chapa preta de alta resistência, sob dimensões de 2” ½, 2”, 1” ½ e 3/16 com espessuras mínimas de 2,00 mm orifícios tubulares: extremidades superiores, inferiores e móveis blindados em chapa 14, tornandoo insensível a penetração de água utilizando eixos maciços e usinados para rolamentos duplos, com serviços de soldagem, pintura, aplicação de logomarca, montagem, instalação com chumbamento em cimento</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R$ 10.695,00</w:t>
            </w:r>
          </w:p>
        </w:tc>
        <w:tc>
          <w:tcPr>
            <w:tcW w:w="733" w:type="pct"/>
            <w:vAlign w:val="center"/>
          </w:tcPr>
          <w:p>
            <w:pPr>
              <w:tabs>
                <w:tab w:val="left" w:pos="5103"/>
              </w:tabs>
              <w:jc w:val="center"/>
              <w:rPr>
                <w:rFonts w:ascii="Cambria" w:hAnsi="Cambria"/>
                <w:sz w:val="18"/>
                <w:szCs w:val="18"/>
              </w:rPr>
            </w:pPr>
            <w:r>
              <w:rPr>
                <w:rFonts w:ascii="Cambria" w:hAnsi="Cambria"/>
                <w:sz w:val="18"/>
                <w:szCs w:val="18"/>
              </w:rPr>
              <w:t>R$ 42.780,00</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08</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 xml:space="preserve">ESQUI INDIVIDUAL Referente a Prestação de serviços na Fabricação de Esqui Individual, produzido a partir de tubos industrializados a vapor e chapa preta de alta resistência, sob dimensões de 2” ½, 1” ½ e 1” com espessuras mínimas de 2,00 mm e tubo 50x30x1,50 mm orifícios tubulares: extremidades superiores, 01inferiores e móveis blindados em chapa 14, tornandoo insensível a penetração de água utilizando eixos maciços e usinados para rolamentos duplos, com serviços de soldagem, pintura, aplicação de logomarca, montagem, instalação com chumbamento em cimento </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R$ 9.022,67</w:t>
            </w:r>
          </w:p>
        </w:tc>
        <w:tc>
          <w:tcPr>
            <w:tcW w:w="733" w:type="pct"/>
            <w:vAlign w:val="center"/>
          </w:tcPr>
          <w:p>
            <w:pPr>
              <w:tabs>
                <w:tab w:val="left" w:pos="5103"/>
              </w:tabs>
              <w:jc w:val="center"/>
              <w:rPr>
                <w:rFonts w:ascii="Cambria" w:hAnsi="Cambria"/>
                <w:sz w:val="18"/>
                <w:szCs w:val="18"/>
              </w:rPr>
            </w:pPr>
            <w:r>
              <w:rPr>
                <w:rFonts w:ascii="Cambria" w:hAnsi="Cambria"/>
                <w:sz w:val="18"/>
                <w:szCs w:val="18"/>
              </w:rPr>
              <w:t>R$ 36.090,68</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09</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 xml:space="preserve">PUXADOR DE COSTAS COM PEITORAL Referente a Prestação de serviços na Fabricação de Puxador de Costas com Peitoral produzido a partir de tubos industrializados a vapor e chapa preta de alta resistência, possui manoplas anatômicas emborrachadas frisadas antiderrapantes, cubos de rolamento blindados rolamentos duplos, com serviços de soldagem, pintura, aplicação de logomarca, montagem, instalação com chumbamento em cimento </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R$ 7.044,00</w:t>
            </w:r>
          </w:p>
        </w:tc>
        <w:tc>
          <w:tcPr>
            <w:tcW w:w="733" w:type="pct"/>
            <w:vAlign w:val="center"/>
          </w:tcPr>
          <w:p>
            <w:pPr>
              <w:tabs>
                <w:tab w:val="left" w:pos="5103"/>
              </w:tabs>
              <w:jc w:val="center"/>
              <w:rPr>
                <w:rFonts w:ascii="Cambria" w:hAnsi="Cambria"/>
                <w:sz w:val="18"/>
                <w:szCs w:val="18"/>
              </w:rPr>
            </w:pPr>
            <w:r>
              <w:rPr>
                <w:rFonts w:ascii="Cambria" w:hAnsi="Cambria"/>
                <w:sz w:val="18"/>
                <w:szCs w:val="18"/>
              </w:rPr>
              <w:t>R$ 28.176,00</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t>10</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 xml:space="preserve">BICICLETA INDIVIDUAL Referente a Prestação de </w:t>
            </w:r>
            <w:r>
              <w:rPr>
                <w:rFonts w:ascii="Cambria" w:hAnsi="Cambria"/>
                <w:sz w:val="18"/>
                <w:szCs w:val="18"/>
              </w:rPr>
              <w:lastRenderedPageBreak/>
              <w:t>serviços na Fabricação de Bicicleta Individual, produzido a partir de tubos industrializados a vapor e chapa preta de alta resistência, sob dimensões de 2” ½, 2”, 1” ½, ¼ e 1” com espessuras mínimas de 2,00 mm orifícios tubulares: com assento maciço em chapa 14 e pedal “Z” com rolamento blindados, tornandoo insensível a penetração de água utilizando eixos maciços e usinados para rolamentos</w:t>
            </w:r>
          </w:p>
        </w:tc>
        <w:tc>
          <w:tcPr>
            <w:tcW w:w="423" w:type="pct"/>
            <w:vAlign w:val="center"/>
          </w:tcPr>
          <w:p>
            <w:pPr>
              <w:tabs>
                <w:tab w:val="left" w:pos="5103"/>
              </w:tabs>
              <w:jc w:val="center"/>
              <w:rPr>
                <w:rFonts w:ascii="Cambria" w:hAnsi="Cambria"/>
                <w:sz w:val="18"/>
                <w:szCs w:val="18"/>
              </w:rPr>
            </w:pPr>
            <w:r>
              <w:rPr>
                <w:rFonts w:ascii="Cambria" w:hAnsi="Cambria"/>
                <w:sz w:val="18"/>
                <w:szCs w:val="18"/>
              </w:rPr>
              <w:lastRenderedPageBreak/>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R$ 6.950,00</w:t>
            </w:r>
          </w:p>
        </w:tc>
        <w:tc>
          <w:tcPr>
            <w:tcW w:w="733" w:type="pct"/>
            <w:vAlign w:val="center"/>
          </w:tcPr>
          <w:p>
            <w:pPr>
              <w:tabs>
                <w:tab w:val="left" w:pos="5103"/>
              </w:tabs>
              <w:jc w:val="center"/>
              <w:rPr>
                <w:rFonts w:ascii="Cambria" w:hAnsi="Cambria"/>
                <w:sz w:val="18"/>
                <w:szCs w:val="18"/>
              </w:rPr>
            </w:pPr>
            <w:r>
              <w:rPr>
                <w:rFonts w:ascii="Cambria" w:hAnsi="Cambria"/>
                <w:sz w:val="18"/>
                <w:szCs w:val="18"/>
              </w:rPr>
              <w:t>R$ 27.800,00</w:t>
            </w:r>
          </w:p>
        </w:tc>
      </w:tr>
      <w:tr>
        <w:trPr>
          <w:trHeight w:val="58"/>
          <w:jc w:val="center"/>
        </w:trPr>
        <w:tc>
          <w:tcPr>
            <w:tcW w:w="374" w:type="pct"/>
            <w:vAlign w:val="center"/>
          </w:tcPr>
          <w:p>
            <w:pPr>
              <w:tabs>
                <w:tab w:val="left" w:pos="5103"/>
              </w:tabs>
              <w:jc w:val="center"/>
              <w:rPr>
                <w:rFonts w:ascii="Cambria" w:hAnsi="Cambria"/>
                <w:sz w:val="18"/>
                <w:szCs w:val="18"/>
              </w:rPr>
            </w:pPr>
            <w:r>
              <w:rPr>
                <w:rFonts w:ascii="Cambria" w:hAnsi="Cambria"/>
                <w:sz w:val="18"/>
                <w:szCs w:val="18"/>
              </w:rPr>
              <w:lastRenderedPageBreak/>
              <w:t>11</w:t>
            </w:r>
          </w:p>
        </w:tc>
        <w:tc>
          <w:tcPr>
            <w:tcW w:w="2328" w:type="pct"/>
            <w:vAlign w:val="center"/>
          </w:tcPr>
          <w:p>
            <w:pPr>
              <w:widowControl w:val="0"/>
              <w:tabs>
                <w:tab w:val="left" w:pos="5103"/>
              </w:tabs>
              <w:jc w:val="both"/>
              <w:rPr>
                <w:rFonts w:ascii="Cambria" w:hAnsi="Cambria"/>
                <w:sz w:val="18"/>
                <w:szCs w:val="18"/>
              </w:rPr>
            </w:pPr>
            <w:r>
              <w:rPr>
                <w:rFonts w:ascii="Cambria" w:hAnsi="Cambria"/>
                <w:sz w:val="18"/>
                <w:szCs w:val="18"/>
              </w:rPr>
              <w:t>BICICLETA DE MÃO INDIVIDUAL Referente a Prestação de serviços na Fabricação de Bicicleta Individual, produzido a partir de tubos industrializados a vapor e chapa preta de alta resistência, sob dimensões de 2” ½, 2”, 1” ½, ¼ e 1” com espessuras mínimas de 2,00 mm orifícios tubulares: com assento maciço em chapa 14 e pedal “Z” com rolamento blindados, tornando-o insensível a penetração de água utilizando eixos maciços e usinados para rolamentos.</w:t>
            </w:r>
          </w:p>
        </w:tc>
        <w:tc>
          <w:tcPr>
            <w:tcW w:w="423" w:type="pct"/>
            <w:vAlign w:val="center"/>
          </w:tcPr>
          <w:p>
            <w:pPr>
              <w:tabs>
                <w:tab w:val="left" w:pos="5103"/>
              </w:tabs>
              <w:jc w:val="center"/>
              <w:rPr>
                <w:rFonts w:ascii="Cambria" w:hAnsi="Cambria"/>
                <w:sz w:val="18"/>
                <w:szCs w:val="18"/>
              </w:rPr>
            </w:pPr>
            <w:r>
              <w:rPr>
                <w:rFonts w:ascii="Cambria" w:hAnsi="Cambria"/>
                <w:sz w:val="18"/>
                <w:szCs w:val="18"/>
              </w:rPr>
              <w:t>UND</w:t>
            </w:r>
          </w:p>
        </w:tc>
        <w:tc>
          <w:tcPr>
            <w:tcW w:w="518" w:type="pct"/>
            <w:vAlign w:val="center"/>
          </w:tcPr>
          <w:p>
            <w:pPr>
              <w:tabs>
                <w:tab w:val="left" w:pos="5103"/>
              </w:tabs>
              <w:jc w:val="center"/>
              <w:rPr>
                <w:rFonts w:ascii="Cambria" w:hAnsi="Cambria"/>
                <w:sz w:val="18"/>
                <w:szCs w:val="18"/>
              </w:rPr>
            </w:pPr>
            <w:r>
              <w:rPr>
                <w:rFonts w:ascii="Cambria" w:hAnsi="Cambria"/>
                <w:sz w:val="18"/>
                <w:szCs w:val="18"/>
              </w:rPr>
              <w:t>4</w:t>
            </w:r>
          </w:p>
        </w:tc>
        <w:tc>
          <w:tcPr>
            <w:tcW w:w="624" w:type="pct"/>
            <w:vAlign w:val="center"/>
          </w:tcPr>
          <w:p>
            <w:pPr>
              <w:tabs>
                <w:tab w:val="left" w:pos="5103"/>
              </w:tabs>
              <w:jc w:val="center"/>
              <w:rPr>
                <w:rFonts w:ascii="Cambria" w:hAnsi="Cambria"/>
                <w:sz w:val="18"/>
                <w:szCs w:val="18"/>
              </w:rPr>
            </w:pPr>
            <w:r>
              <w:rPr>
                <w:rFonts w:ascii="Cambria" w:hAnsi="Cambria"/>
                <w:sz w:val="18"/>
                <w:szCs w:val="18"/>
              </w:rPr>
              <w:t>R$ 6.210,00</w:t>
            </w:r>
          </w:p>
        </w:tc>
        <w:tc>
          <w:tcPr>
            <w:tcW w:w="733" w:type="pct"/>
            <w:vAlign w:val="center"/>
          </w:tcPr>
          <w:p>
            <w:pPr>
              <w:tabs>
                <w:tab w:val="left" w:pos="5103"/>
              </w:tabs>
              <w:jc w:val="center"/>
              <w:rPr>
                <w:rFonts w:ascii="Cambria" w:hAnsi="Cambria"/>
                <w:sz w:val="18"/>
                <w:szCs w:val="18"/>
              </w:rPr>
            </w:pPr>
            <w:r>
              <w:rPr>
                <w:rFonts w:ascii="Cambria" w:hAnsi="Cambria"/>
                <w:sz w:val="18"/>
                <w:szCs w:val="18"/>
              </w:rPr>
              <w:t>R$ 24.840,00</w:t>
            </w:r>
          </w:p>
        </w:tc>
      </w:tr>
      <w:tr>
        <w:trPr>
          <w:trHeight w:val="58"/>
          <w:jc w:val="center"/>
        </w:trPr>
        <w:tc>
          <w:tcPr>
            <w:tcW w:w="5000" w:type="pct"/>
            <w:gridSpan w:val="6"/>
            <w:vAlign w:val="center"/>
          </w:tcPr>
          <w:p>
            <w:pPr>
              <w:tabs>
                <w:tab w:val="left" w:pos="5103"/>
              </w:tabs>
              <w:jc w:val="both"/>
              <w:rPr>
                <w:rFonts w:ascii="Cambria" w:hAnsi="Cambria"/>
                <w:sz w:val="18"/>
                <w:szCs w:val="18"/>
              </w:rPr>
            </w:pPr>
            <w:r>
              <w:rPr>
                <w:rFonts w:ascii="Cambria" w:hAnsi="Cambria"/>
                <w:b/>
                <w:bCs/>
                <w:sz w:val="18"/>
                <w:szCs w:val="18"/>
              </w:rPr>
              <w:t>VALOR TOTAL:</w:t>
            </w:r>
            <w:r>
              <w:rPr>
                <w:rFonts w:ascii="Cambria" w:hAnsi="Cambria"/>
                <w:sz w:val="18"/>
                <w:szCs w:val="18"/>
              </w:rPr>
              <w:t xml:space="preserve"> R$ 381.322,00 (Trezentos e Oitenta e Um Mil, Trezentos e Vinte e Dois Reais)</w:t>
            </w:r>
          </w:p>
        </w:tc>
      </w:tr>
    </w:tbl>
    <w:p>
      <w:pPr>
        <w:tabs>
          <w:tab w:val="left" w:pos="5103"/>
        </w:tabs>
        <w:jc w:val="center"/>
        <w:rPr>
          <w:rFonts w:ascii="Cambria" w:hAnsi="Cambria" w:cstheme="majorHAnsi"/>
          <w:b/>
          <w:sz w:val="24"/>
          <w:szCs w:val="24"/>
        </w:rPr>
      </w:pPr>
      <w:r>
        <w:rPr>
          <w:rFonts w:ascii="Cambria" w:hAnsi="Cambria" w:cstheme="majorHAnsi"/>
          <w:sz w:val="24"/>
          <w:szCs w:val="24"/>
        </w:rPr>
        <w:br w:type="page"/>
      </w:r>
      <w:r>
        <w:rPr>
          <w:rFonts w:ascii="Cambria" w:hAnsi="Cambria" w:cstheme="majorHAnsi"/>
          <w:b/>
          <w:sz w:val="24"/>
          <w:szCs w:val="24"/>
        </w:rPr>
        <w:lastRenderedPageBreak/>
        <w:t>ANEXO II</w:t>
      </w:r>
    </w:p>
    <w:p>
      <w:pPr>
        <w:shd w:val="clear" w:color="auto" w:fill="000099"/>
        <w:tabs>
          <w:tab w:val="left" w:pos="5103"/>
        </w:tabs>
        <w:jc w:val="center"/>
        <w:rPr>
          <w:rFonts w:ascii="Cambria" w:hAnsi="Cambria" w:cstheme="majorHAnsi"/>
          <w:b/>
          <w:sz w:val="24"/>
          <w:szCs w:val="24"/>
        </w:rPr>
      </w:pPr>
      <w:r>
        <w:rPr>
          <w:rFonts w:ascii="Cambria" w:hAnsi="Cambria" w:cstheme="majorHAnsi"/>
          <w:b/>
          <w:sz w:val="24"/>
          <w:szCs w:val="24"/>
        </w:rPr>
        <w:t>RELAÇÃO DOS DOCUMENTOS DE HABILITAÇÃO</w:t>
      </w:r>
    </w:p>
    <w:p>
      <w:pPr>
        <w:tabs>
          <w:tab w:val="left" w:pos="5103"/>
        </w:tabs>
        <w:jc w:val="center"/>
        <w:rPr>
          <w:rFonts w:ascii="Cambria" w:hAnsi="Cambria" w:cstheme="majorHAnsi"/>
          <w:b/>
          <w:sz w:val="24"/>
          <w:szCs w:val="24"/>
        </w:rPr>
      </w:pPr>
    </w:p>
    <w:p>
      <w:pPr>
        <w:tabs>
          <w:tab w:val="left" w:pos="5103"/>
        </w:tabs>
        <w:rPr>
          <w:rFonts w:ascii="Cambria" w:hAnsi="Cambria" w:cstheme="majorHAnsi"/>
          <w:sz w:val="24"/>
          <w:szCs w:val="24"/>
        </w:rPr>
      </w:pPr>
      <w:r>
        <w:rPr>
          <w:rFonts w:ascii="Cambria" w:hAnsi="Cambria" w:cstheme="majorHAnsi"/>
          <w:sz w:val="24"/>
          <w:szCs w:val="24"/>
        </w:rPr>
        <w:t>Para fins de licitação, o(s) licitante(s) deverão comprovar o atendimento aos seguintes requisitos:</w:t>
      </w:r>
    </w:p>
    <w:p>
      <w:pPr>
        <w:pStyle w:val="PargrafodaLista"/>
        <w:numPr>
          <w:ilvl w:val="0"/>
          <w:numId w:val="33"/>
        </w:numPr>
        <w:tabs>
          <w:tab w:val="left" w:pos="284"/>
          <w:tab w:val="left" w:pos="5103"/>
        </w:tabs>
        <w:spacing w:line="276" w:lineRule="auto"/>
        <w:rPr>
          <w:rFonts w:ascii="Cambria" w:hAnsi="Cambria" w:cstheme="majorHAnsi"/>
          <w:b/>
          <w:bCs/>
          <w:sz w:val="24"/>
          <w:szCs w:val="24"/>
        </w:rPr>
      </w:pPr>
      <w:bookmarkStart w:id="60" w:name="_Hlk155179860"/>
      <w:r>
        <w:rPr>
          <w:rFonts w:ascii="Cambria" w:hAnsi="Cambria" w:cstheme="majorHAnsi"/>
          <w:b/>
          <w:bCs/>
          <w:sz w:val="24"/>
          <w:szCs w:val="24"/>
        </w:rPr>
        <w:t>Habilitação jurídica</w:t>
      </w:r>
    </w:p>
    <w:p>
      <w:pPr>
        <w:tabs>
          <w:tab w:val="left" w:pos="284"/>
          <w:tab w:val="left" w:pos="5103"/>
        </w:tabs>
        <w:jc w:val="both"/>
        <w:rPr>
          <w:rFonts w:ascii="Cambria" w:hAnsi="Cambria" w:cstheme="majorHAnsi"/>
          <w:sz w:val="24"/>
          <w:szCs w:val="24"/>
        </w:rPr>
      </w:pPr>
      <w:r>
        <w:rPr>
          <w:rFonts w:ascii="Cambria" w:hAnsi="Cambria" w:cstheme="majorHAnsi"/>
          <w:sz w:val="24"/>
          <w:szCs w:val="24"/>
        </w:rPr>
        <w:t xml:space="preserve">A habilitação jurídica visa a demonstrar a capacidade de o licitante exercer direitos e assumir obrigações, e a documentação a ser apresentada por ele limita-se à </w:t>
      </w:r>
      <w:r>
        <w:rPr>
          <w:rFonts w:ascii="Cambria" w:hAnsi="Cambria" w:cstheme="majorHAnsi"/>
          <w:b/>
          <w:bCs/>
          <w:sz w:val="24"/>
          <w:szCs w:val="24"/>
        </w:rPr>
        <w:t>comprovação de existência jurídica da pessoa</w:t>
      </w:r>
      <w:r>
        <w:rPr>
          <w:rFonts w:ascii="Cambria" w:hAnsi="Cambria" w:cstheme="majorHAnsi"/>
          <w:sz w:val="24"/>
          <w:szCs w:val="24"/>
        </w:rPr>
        <w:t xml:space="preserve"> e, quando cabível, de autorização para o exercício da atividade a ser contratada (Art. 66 da Lei Federal nº 14.133/21), devendo ser observado e apresentado, se for:</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Pessoa física: cédula de identidade (RG) ou documento equivalente que, por força de lei, tenha validade para fins de identificação em todo o território nacional;</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 xml:space="preserve">Empresário individual: inscrição no Registro Público de Empresas Mercantis, a cargo da Junta Comercial da respectiva sede; </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 xml:space="preserve">Microempreendedor Individual - MEI: Certificado da Condição de Microempreendedor Individual - CCMEI, cuja aceitação ficará condicionada à verificação da autenticidade no sítio https://www.gov.br/empresas-e-negocios/pt-br/empreendedor; </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Sociedade simples: inscrição do ato constitutivo no Registro Civil de Pessoas Jurídicas do local de sua sede, acompanhada de documento comprobatório de seus administradores;</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Agricultor familiar: Declaração de Aptidão ao Pronaf – DAP ou DAP-P válida, ou, ainda, outros documentos definidos pela Secretaria Especial de Agricultura Familiar e do Desenvolvimento Agrário, nos termos do art. 4º, §2º do Decreto nº 10.880, de 2 de dezembro de 2024.</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Produtor Rural: matrícula no Cadastro Específico do INSS – CEI, que comprove a qualificação como produtor rural pessoa física, nos termos da Instrução Normativa RFB n. 971, de 13 de novembro de 2009 (arts. 17 a 19 e 165).</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Ato de autorização para o exercício da atividade.</w:t>
      </w:r>
    </w:p>
    <w:p>
      <w:pPr>
        <w:pStyle w:val="PargrafodaLista"/>
        <w:tabs>
          <w:tab w:val="left" w:pos="567"/>
          <w:tab w:val="left" w:pos="851"/>
          <w:tab w:val="left" w:pos="2525"/>
          <w:tab w:val="center" w:pos="4873"/>
          <w:tab w:val="left" w:pos="5103"/>
        </w:tabs>
        <w:ind w:left="0"/>
        <w:jc w:val="both"/>
        <w:rPr>
          <w:rFonts w:ascii="Cambria" w:hAnsi="Cambria" w:cstheme="majorHAnsi"/>
          <w:bCs/>
          <w:sz w:val="24"/>
          <w:szCs w:val="24"/>
        </w:rPr>
      </w:pPr>
    </w:p>
    <w:p>
      <w:pPr>
        <w:pStyle w:val="PargrafodaLista"/>
        <w:tabs>
          <w:tab w:val="left" w:pos="567"/>
          <w:tab w:val="left" w:pos="851"/>
          <w:tab w:val="left" w:pos="2525"/>
          <w:tab w:val="center" w:pos="4873"/>
          <w:tab w:val="left" w:pos="5103"/>
        </w:tabs>
        <w:ind w:left="0"/>
        <w:jc w:val="both"/>
        <w:rPr>
          <w:rFonts w:ascii="Cambria" w:hAnsi="Cambria" w:cstheme="majorHAnsi"/>
          <w:b/>
          <w:sz w:val="24"/>
          <w:szCs w:val="24"/>
        </w:rPr>
      </w:pPr>
      <w:r>
        <w:rPr>
          <w:rFonts w:ascii="Cambria" w:hAnsi="Cambria" w:cstheme="majorHAnsi"/>
          <w:b/>
          <w:sz w:val="24"/>
          <w:szCs w:val="24"/>
        </w:rPr>
        <w:t>Os documentos apresentados deverão estar acompanhados de todas as alterações ou da consolidação respectiva.</w:t>
      </w:r>
    </w:p>
    <w:p>
      <w:pPr>
        <w:pStyle w:val="PargrafodaLista"/>
        <w:tabs>
          <w:tab w:val="left" w:pos="567"/>
          <w:tab w:val="left" w:pos="851"/>
          <w:tab w:val="left" w:pos="2525"/>
          <w:tab w:val="center" w:pos="4873"/>
          <w:tab w:val="left" w:pos="5103"/>
        </w:tabs>
        <w:ind w:left="0"/>
        <w:jc w:val="both"/>
        <w:rPr>
          <w:rFonts w:ascii="Cambria" w:hAnsi="Cambria" w:cstheme="majorHAnsi"/>
          <w:b/>
          <w:sz w:val="24"/>
          <w:szCs w:val="24"/>
        </w:rPr>
      </w:pPr>
    </w:p>
    <w:p>
      <w:pPr>
        <w:pStyle w:val="PargrafodaLista"/>
        <w:numPr>
          <w:ilvl w:val="0"/>
          <w:numId w:val="33"/>
        </w:numPr>
        <w:tabs>
          <w:tab w:val="left" w:pos="284"/>
          <w:tab w:val="left" w:pos="5103"/>
        </w:tabs>
        <w:spacing w:line="276" w:lineRule="auto"/>
        <w:rPr>
          <w:rFonts w:ascii="Cambria" w:hAnsi="Cambria" w:cstheme="majorHAnsi"/>
          <w:b/>
          <w:bCs/>
          <w:sz w:val="24"/>
          <w:szCs w:val="24"/>
        </w:rPr>
      </w:pPr>
      <w:r>
        <w:rPr>
          <w:rFonts w:ascii="Cambria" w:hAnsi="Cambria" w:cstheme="majorHAnsi"/>
          <w:b/>
          <w:bCs/>
          <w:sz w:val="24"/>
          <w:szCs w:val="24"/>
        </w:rPr>
        <w:t>Habilitação fiscal, social e trabalhista</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Prova de inscrição no Cadastro Nacional de Pessoas Jurídicas (CNPJ);</w:t>
      </w:r>
      <w:bookmarkStart w:id="61" w:name="art68ii"/>
      <w:bookmarkEnd w:id="61"/>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Prova de inscrição no cadastro de contribuintes estadual e/ou municipal, se houver, relativo ao domicílio ou sede do licitante, pertinente ao seu ramo de atividade e compatível com o objeto contratual</w:t>
      </w:r>
      <w:bookmarkStart w:id="62" w:name="art68iii"/>
      <w:bookmarkEnd w:id="62"/>
      <w:r>
        <w:rPr>
          <w:rFonts w:ascii="Cambria" w:hAnsi="Cambria" w:cstheme="majorHAnsi"/>
          <w:bCs/>
          <w:sz w:val="24"/>
          <w:szCs w:val="24"/>
        </w:rPr>
        <w:t>;</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Prova de regularidade com a Fazenda federal, estadual e municipal do domicílio ou sede do licitante, ou outra equivalente, na forma da lei</w:t>
      </w:r>
      <w:bookmarkStart w:id="63" w:name="art68iv"/>
      <w:bookmarkEnd w:id="63"/>
      <w:r>
        <w:rPr>
          <w:rFonts w:ascii="Cambria" w:hAnsi="Cambria" w:cstheme="majorHAnsi"/>
          <w:bCs/>
          <w:sz w:val="24"/>
          <w:szCs w:val="24"/>
        </w:rPr>
        <w:t>;</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Prova de regularidade relativa à Seguridade Social e ao FGTS, que demonstre cumprimento dos encargos sociais instituídos por lei;</w:t>
      </w:r>
      <w:bookmarkStart w:id="64" w:name="art68v"/>
      <w:bookmarkEnd w:id="64"/>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Prova de regularidade perante a Justiça do Trabalho (Mediante a apresentação de certidão negativa ou positiva com efeito de negativa, nos termos do Título VII-A da Consolidação das Leis do Trabalho, aprovada pelo Decreto-Lei nº 5.452, de 1º de maio de 1943).</w:t>
      </w:r>
      <w:bookmarkStart w:id="65" w:name="art68vi"/>
      <w:bookmarkEnd w:id="65"/>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Declaração quanto ao cumprimento do disposto no </w:t>
      </w:r>
      <w:hyperlink r:id="rId50" w:anchor="art7xxxiii" w:history="1">
        <w:r>
          <w:rPr>
            <w:rFonts w:ascii="Cambria" w:hAnsi="Cambria" w:cstheme="majorHAnsi"/>
            <w:bCs/>
            <w:sz w:val="24"/>
            <w:szCs w:val="24"/>
          </w:rPr>
          <w:t>inciso XXXIII do art. 7º da Constituição Federal (Esta declaração ficará dispensada em caso de procedimento eletrônico onde o proponente opte por assinalar a opção constante do sistema).</w:t>
        </w:r>
      </w:hyperlink>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pStyle w:val="PargrafodaLista"/>
        <w:tabs>
          <w:tab w:val="left" w:pos="426"/>
          <w:tab w:val="left" w:pos="5103"/>
        </w:tabs>
        <w:ind w:left="0"/>
        <w:jc w:val="both"/>
        <w:rPr>
          <w:rFonts w:ascii="Cambria" w:hAnsi="Cambria" w:cstheme="majorHAnsi"/>
          <w:bCs/>
          <w:sz w:val="24"/>
          <w:szCs w:val="24"/>
        </w:rPr>
      </w:pPr>
    </w:p>
    <w:p>
      <w:pPr>
        <w:pStyle w:val="PargrafodaLista"/>
        <w:numPr>
          <w:ilvl w:val="0"/>
          <w:numId w:val="33"/>
        </w:numPr>
        <w:tabs>
          <w:tab w:val="left" w:pos="284"/>
          <w:tab w:val="left" w:pos="5103"/>
        </w:tabs>
        <w:spacing w:line="276" w:lineRule="auto"/>
        <w:rPr>
          <w:rFonts w:ascii="Cambria" w:hAnsi="Cambria" w:cstheme="majorHAnsi"/>
          <w:b/>
          <w:bCs/>
          <w:sz w:val="24"/>
          <w:szCs w:val="24"/>
        </w:rPr>
      </w:pPr>
      <w:r>
        <w:rPr>
          <w:rFonts w:ascii="Cambria" w:hAnsi="Cambria" w:cstheme="majorHAnsi"/>
          <w:b/>
          <w:bCs/>
          <w:sz w:val="24"/>
          <w:szCs w:val="24"/>
        </w:rPr>
        <w:t>Qualificação Econômico-Financeira</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Balanço patrimonial, demonstração de resultado de exercício e demais demonstrações contábeis dos 2 (dois) últimos exercícios sociais (já exigíveis e apresentados na forma da lei, devidamente registrado no órgão competente de origem)</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pPr>
        <w:pStyle w:val="PargrafodaLista"/>
        <w:tabs>
          <w:tab w:val="left" w:pos="426"/>
          <w:tab w:val="left" w:pos="5103"/>
        </w:tabs>
        <w:ind w:left="426"/>
        <w:jc w:val="both"/>
        <w:rPr>
          <w:rFonts w:ascii="Cambria" w:hAnsi="Cambria" w:cstheme="majorHAnsi"/>
          <w:bCs/>
          <w:sz w:val="24"/>
          <w:szCs w:val="24"/>
        </w:rPr>
      </w:pPr>
      <w:r>
        <w:rPr>
          <w:rFonts w:ascii="Cambria" w:hAnsi="Cambria" w:cstheme="majorHAnsi"/>
          <w:bCs/>
          <w:sz w:val="24"/>
          <w:szCs w:val="24"/>
        </w:rPr>
        <w:t>I - Liquidez Geral (LG) = (Ativo Circulante + Realizável a Longo Prazo)/( Passivo Circulante + Passivo Não Circulante);</w:t>
      </w:r>
    </w:p>
    <w:p>
      <w:pPr>
        <w:pStyle w:val="PargrafodaLista"/>
        <w:tabs>
          <w:tab w:val="left" w:pos="426"/>
          <w:tab w:val="left" w:pos="5103"/>
        </w:tabs>
        <w:ind w:left="426"/>
        <w:jc w:val="both"/>
        <w:rPr>
          <w:rFonts w:ascii="Cambria" w:hAnsi="Cambria" w:cstheme="majorHAnsi"/>
          <w:bCs/>
          <w:sz w:val="24"/>
          <w:szCs w:val="24"/>
        </w:rPr>
      </w:pPr>
      <w:r>
        <w:rPr>
          <w:rFonts w:ascii="Cambria" w:hAnsi="Cambria" w:cstheme="majorHAnsi"/>
          <w:bCs/>
          <w:sz w:val="24"/>
          <w:szCs w:val="24"/>
        </w:rPr>
        <w:t>II - Solvência Geral (SG)= (Ativo Total)/(Passivo Circulante +Passivo não Circulante); e</w:t>
      </w:r>
    </w:p>
    <w:p>
      <w:pPr>
        <w:pStyle w:val="PargrafodaLista"/>
        <w:tabs>
          <w:tab w:val="left" w:pos="426"/>
          <w:tab w:val="left" w:pos="5103"/>
        </w:tabs>
        <w:ind w:left="426"/>
        <w:jc w:val="both"/>
        <w:rPr>
          <w:rFonts w:ascii="Cambria" w:hAnsi="Cambria" w:cstheme="majorHAnsi"/>
          <w:bCs/>
          <w:sz w:val="24"/>
          <w:szCs w:val="24"/>
        </w:rPr>
      </w:pPr>
      <w:r>
        <w:rPr>
          <w:rFonts w:ascii="Cambria" w:hAnsi="Cambria" w:cstheme="majorHAnsi"/>
          <w:bCs/>
          <w:sz w:val="24"/>
          <w:szCs w:val="24"/>
        </w:rPr>
        <w:t>III - Liquidez Corrente (LC) = (Ativo Circulante)/(Passivo Circulante).</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lastRenderedPageBreak/>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Caso a empresa licitante apresente resultado inferior ou igual a 1 (um) em qualquer dos índices de Liquidez Geral (LG), Solvência Geral (SG) e Liquidez Corrente (LC), será exigido para fins de habilitação patrimônio líquido mínimo de 10% do valor total estimado do item/grupo que a licitante for sagrada vencedora.</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O balanço patrimonial, demonstração de resultado de exercício e demais demonstrações contábeis limitar-se-ão ao último exercício no caso de a pessoa jurídica ter sido constituída há menos de 2 (dois) anos. (Lei nº 14.133, de 2021, art. 69, §6º)</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O atendimento dos índices econômicos previstos neste item deverá ser atestado mediante declaração assinada por profissional habilitado da área contábil, apresentada pelo fornecedor.</w:t>
      </w:r>
    </w:p>
    <w:p>
      <w:pPr>
        <w:pStyle w:val="PargrafodaLista"/>
        <w:tabs>
          <w:tab w:val="left" w:pos="426"/>
          <w:tab w:val="left" w:pos="5103"/>
        </w:tabs>
        <w:ind w:left="0"/>
        <w:jc w:val="both"/>
        <w:rPr>
          <w:rFonts w:ascii="Cambria" w:hAnsi="Cambria" w:cstheme="majorHAnsi"/>
          <w:bCs/>
          <w:sz w:val="24"/>
          <w:szCs w:val="24"/>
        </w:rPr>
      </w:pPr>
    </w:p>
    <w:p>
      <w:pPr>
        <w:pStyle w:val="PargrafodaLista"/>
        <w:numPr>
          <w:ilvl w:val="0"/>
          <w:numId w:val="33"/>
        </w:numPr>
        <w:tabs>
          <w:tab w:val="left" w:pos="426"/>
          <w:tab w:val="left" w:pos="5103"/>
        </w:tabs>
        <w:spacing w:after="200" w:line="276" w:lineRule="auto"/>
        <w:jc w:val="both"/>
        <w:rPr>
          <w:rFonts w:ascii="Cambria" w:hAnsi="Cambria" w:cstheme="majorHAnsi"/>
          <w:b/>
          <w:sz w:val="24"/>
          <w:szCs w:val="24"/>
        </w:rPr>
      </w:pPr>
      <w:r>
        <w:rPr>
          <w:rFonts w:ascii="Cambria" w:hAnsi="Cambria" w:cstheme="majorHAnsi"/>
          <w:b/>
          <w:sz w:val="24"/>
          <w:szCs w:val="24"/>
        </w:rPr>
        <w:t>Qualificação Técnica</w:t>
      </w:r>
    </w:p>
    <w:p>
      <w:pPr>
        <w:pStyle w:val="PargrafodaLista"/>
        <w:numPr>
          <w:ilvl w:val="1"/>
          <w:numId w:val="33"/>
        </w:numPr>
        <w:tabs>
          <w:tab w:val="left" w:pos="426"/>
          <w:tab w:val="left" w:pos="5103"/>
        </w:tabs>
        <w:spacing w:after="200" w:line="276" w:lineRule="auto"/>
        <w:ind w:left="0" w:firstLine="0"/>
        <w:jc w:val="both"/>
        <w:rPr>
          <w:rFonts w:ascii="Cambria" w:hAnsi="Cambria" w:cstheme="majorHAnsi"/>
          <w:bCs/>
          <w:sz w:val="24"/>
          <w:szCs w:val="24"/>
        </w:rPr>
      </w:pPr>
      <w:r>
        <w:rPr>
          <w:rFonts w:ascii="Cambria" w:hAnsi="Cambria" w:cstheme="majorHAnsi"/>
          <w:bCs/>
          <w:sz w:val="24"/>
          <w:szCs w:val="24"/>
        </w:rPr>
        <w:t>Atestado de desempenho anterior fornecido por pessoa jurídica de direito público ou privado, com identificação do assinante, comprovando aptidão da licitante para desempenho de atividades compatíveis com o objeto da licitação.</w:t>
      </w:r>
    </w:p>
    <w:p>
      <w:pPr>
        <w:tabs>
          <w:tab w:val="left" w:pos="5103"/>
        </w:tabs>
        <w:spacing w:after="160" w:line="259" w:lineRule="auto"/>
        <w:rPr>
          <w:rFonts w:ascii="Cambria" w:hAnsi="Cambria" w:cstheme="majorHAnsi"/>
          <w:bCs/>
          <w:sz w:val="24"/>
          <w:szCs w:val="24"/>
        </w:rPr>
      </w:pPr>
      <w:r>
        <w:rPr>
          <w:rFonts w:ascii="Cambria" w:hAnsi="Cambria" w:cstheme="majorHAnsi"/>
          <w:bCs/>
          <w:sz w:val="24"/>
          <w:szCs w:val="24"/>
        </w:rPr>
        <w:br w:type="page"/>
      </w:r>
    </w:p>
    <w:bookmarkEnd w:id="60"/>
    <w:p>
      <w:pPr>
        <w:tabs>
          <w:tab w:val="left" w:pos="5103"/>
        </w:tabs>
        <w:spacing w:after="160" w:line="259" w:lineRule="auto"/>
        <w:jc w:val="center"/>
        <w:rPr>
          <w:rFonts w:ascii="Cambria" w:hAnsi="Cambria" w:cstheme="majorHAnsi"/>
          <w:b/>
          <w:sz w:val="24"/>
          <w:szCs w:val="24"/>
        </w:rPr>
      </w:pPr>
      <w:r>
        <w:rPr>
          <w:rFonts w:ascii="Cambria" w:hAnsi="Cambria" w:cstheme="majorHAnsi"/>
          <w:b/>
          <w:sz w:val="24"/>
          <w:szCs w:val="24"/>
        </w:rPr>
        <w:lastRenderedPageBreak/>
        <w:t>APÊNDICE DO ANEXO I</w:t>
      </w:r>
    </w:p>
    <w:p>
      <w:pPr>
        <w:tabs>
          <w:tab w:val="left" w:pos="5103"/>
        </w:tabs>
        <w:spacing w:after="160" w:line="259" w:lineRule="auto"/>
        <w:jc w:val="center"/>
        <w:rPr>
          <w:rFonts w:ascii="Cambria" w:hAnsi="Cambria" w:cstheme="majorHAnsi"/>
          <w:b/>
          <w:sz w:val="24"/>
          <w:szCs w:val="24"/>
        </w:rPr>
      </w:pPr>
    </w:p>
    <w:p>
      <w:pPr>
        <w:shd w:val="clear" w:color="auto" w:fill="000099"/>
        <w:tabs>
          <w:tab w:val="left" w:pos="5103"/>
        </w:tabs>
        <w:jc w:val="center"/>
        <w:rPr>
          <w:rFonts w:ascii="Cambria" w:hAnsi="Cambria" w:cstheme="majorHAnsi"/>
          <w:b/>
          <w:bCs/>
          <w:sz w:val="24"/>
          <w:szCs w:val="24"/>
        </w:rPr>
      </w:pPr>
      <w:r>
        <w:rPr>
          <w:rFonts w:ascii="Cambria" w:hAnsi="Cambria" w:cstheme="majorHAnsi"/>
          <w:b/>
          <w:sz w:val="24"/>
          <w:szCs w:val="24"/>
          <w:shd w:val="clear" w:color="auto" w:fill="000099"/>
        </w:rPr>
        <w:t>ESTUDO TÉCNICO PRELIMINAR – ETP-</w:t>
      </w:r>
      <w:r>
        <w:rPr>
          <w:rFonts w:ascii="Cambria" w:hAnsi="Cambria"/>
          <w:b/>
          <w:sz w:val="24"/>
          <w:szCs w:val="24"/>
          <w:shd w:val="clear" w:color="auto" w:fill="000099"/>
          <w:lang w:eastAsia="zh-CN"/>
          <w14:ligatures w14:val="standardContextual"/>
        </w:rPr>
        <w:t xml:space="preserve"> Nº 2026.03.17-001</w:t>
      </w:r>
    </w:p>
    <w:p>
      <w:pPr>
        <w:tabs>
          <w:tab w:val="left" w:pos="5103"/>
        </w:tabs>
        <w:jc w:val="center"/>
        <w:rPr>
          <w:rFonts w:ascii="Cambria" w:hAnsi="Cambria" w:cstheme="majorHAnsi"/>
          <w:b/>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1. DESCRIÇÃO DA NECESSIDADE DA CONTRATAÇÃO</w:t>
      </w:r>
    </w:p>
    <w:p>
      <w:pPr>
        <w:tabs>
          <w:tab w:val="left" w:pos="5103"/>
        </w:tabs>
        <w:ind w:firstLine="720"/>
        <w:jc w:val="both"/>
        <w:rPr>
          <w:rFonts w:ascii="Cambria" w:hAnsi="Cambria" w:cstheme="majorHAnsi"/>
          <w:sz w:val="24"/>
          <w:szCs w:val="24"/>
        </w:rPr>
      </w:pPr>
      <w:r>
        <w:rPr>
          <w:rFonts w:ascii="Cambria" w:hAnsi="Cambria" w:cstheme="majorHAnsi"/>
          <w:sz w:val="24"/>
          <w:szCs w:val="24"/>
        </w:rPr>
        <w:t>A presente contratação decorre da necessidade identificada pela Secretaria de Infraestrutura e Serviços Públicos do Município de Miraíma/CE quanto à melhoria, requalificação e ampliação da infraestrutura urbana em áreas públicas de uso coletivo.</w:t>
      </w:r>
    </w:p>
    <w:p>
      <w:pPr>
        <w:tabs>
          <w:tab w:val="left" w:pos="5103"/>
        </w:tabs>
        <w:ind w:firstLine="720"/>
        <w:jc w:val="both"/>
        <w:rPr>
          <w:rFonts w:ascii="Cambria" w:hAnsi="Cambria" w:cstheme="majorHAnsi"/>
          <w:sz w:val="24"/>
          <w:szCs w:val="24"/>
        </w:rPr>
      </w:pPr>
      <w:r>
        <w:rPr>
          <w:rFonts w:ascii="Cambria" w:hAnsi="Cambria" w:cstheme="majorHAnsi"/>
          <w:sz w:val="24"/>
          <w:szCs w:val="24"/>
        </w:rPr>
        <w:t>Verifica-se, no âmbito municipal, a existência de espaços públicos, tais como praças, áreas institucionais e demais logradouros, que se encontram subutilizados ou carentes de equipamentos que promovam sua adequada ocupação e funcionalidade. Tal cenário compromete o pleno aproveitamento desses espaços, reduzindo sua atratividade e limitando sua destinação como ambientes de convivência e uso comunitário.</w:t>
      </w:r>
    </w:p>
    <w:p>
      <w:pPr>
        <w:tabs>
          <w:tab w:val="left" w:pos="5103"/>
        </w:tabs>
        <w:ind w:firstLine="720"/>
        <w:jc w:val="both"/>
        <w:rPr>
          <w:rFonts w:ascii="Cambria" w:hAnsi="Cambria" w:cstheme="majorHAnsi"/>
          <w:sz w:val="24"/>
          <w:szCs w:val="24"/>
        </w:rPr>
      </w:pPr>
      <w:r>
        <w:rPr>
          <w:rFonts w:ascii="Cambria" w:hAnsi="Cambria" w:cstheme="majorHAnsi"/>
          <w:sz w:val="24"/>
          <w:szCs w:val="24"/>
        </w:rPr>
        <w:t>Nesse contexto, evidencia-se a necessidade de implementação de estruturas permanentes que contribuam para o ordenamento e a qualificação desses ambientes, promovendo maior dinamismo na utilização dos espaços públicos. A instalação de equipamentos para academia ao ar livre apresenta-se como solução adequada, considerando tratar-se de mobiliário urbano de uso coletivo, projetado para instalação em áreas abertas, com características de durabilidade, resistência às intempéries e baixa complexidade de manutenção.</w:t>
      </w:r>
    </w:p>
    <w:p>
      <w:pPr>
        <w:tabs>
          <w:tab w:val="left" w:pos="5103"/>
        </w:tabs>
        <w:ind w:firstLine="720"/>
        <w:jc w:val="both"/>
        <w:rPr>
          <w:rFonts w:ascii="Cambria" w:hAnsi="Cambria" w:cstheme="majorHAnsi"/>
          <w:sz w:val="24"/>
          <w:szCs w:val="24"/>
        </w:rPr>
      </w:pPr>
      <w:r>
        <w:rPr>
          <w:rFonts w:ascii="Cambria" w:hAnsi="Cambria" w:cstheme="majorHAnsi"/>
          <w:sz w:val="24"/>
          <w:szCs w:val="24"/>
        </w:rPr>
        <w:t>A adoção dessa solução possibilita a valorização dos espaços urbanos, favorecendo sua ocupação contínua e organizada, além de contribuir para a preservação do patrimônio público, na medida em que reduz a ociosidade e incentiva o uso regular pela população.</w:t>
      </w:r>
    </w:p>
    <w:p>
      <w:pPr>
        <w:tabs>
          <w:tab w:val="left" w:pos="5103"/>
        </w:tabs>
        <w:ind w:firstLine="720"/>
        <w:jc w:val="both"/>
        <w:rPr>
          <w:rFonts w:ascii="Cambria" w:hAnsi="Cambria" w:cstheme="majorHAnsi"/>
          <w:sz w:val="24"/>
          <w:szCs w:val="24"/>
        </w:rPr>
      </w:pPr>
      <w:r>
        <w:rPr>
          <w:rFonts w:ascii="Cambria" w:hAnsi="Cambria" w:cstheme="majorHAnsi"/>
          <w:sz w:val="24"/>
          <w:szCs w:val="24"/>
        </w:rPr>
        <w:t>Dessa forma, a contratação se justifica pela necessidade de fortalecimento da infraestrutura urbana municipal, por meio da inserção de equipamentos que ampliem a funcionalidade e a atratividade dos espaços públicos, em consonância com o interesse coletivo e com os princípios do planejamento, eficiência e adequada gestão dos recursos públicos.</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2. DEMONSTRAÇÃO DA PREVISÃO DA CONTRATAÇÃO NO PLANO DE CONTRATAÇÕES ANUAL (PCA)</w:t>
      </w:r>
    </w:p>
    <w:p>
      <w:pPr>
        <w:tabs>
          <w:tab w:val="left" w:pos="5103"/>
        </w:tabs>
        <w:ind w:firstLine="567"/>
        <w:jc w:val="both"/>
        <w:rPr>
          <w:rFonts w:ascii="Cambria" w:hAnsi="Cambria" w:cstheme="majorHAnsi"/>
          <w:sz w:val="24"/>
          <w:szCs w:val="24"/>
        </w:rPr>
      </w:pPr>
      <w:r>
        <w:rPr>
          <w:rFonts w:ascii="Cambria" w:hAnsi="Cambria" w:cstheme="majorHAnsi"/>
          <w:sz w:val="24"/>
          <w:szCs w:val="24"/>
        </w:rPr>
        <w:t xml:space="preserve">A presente contratação encontra-se devidamente prevista no Plano de Contratações Anual – PCA do exercício de </w:t>
      </w:r>
      <w:r>
        <w:rPr>
          <w:rFonts w:ascii="Cambria" w:hAnsi="Cambria" w:cstheme="majorHAnsi"/>
          <w:b/>
          <w:bCs/>
          <w:sz w:val="24"/>
          <w:szCs w:val="24"/>
        </w:rPr>
        <w:t>2026</w:t>
      </w:r>
      <w:r>
        <w:rPr>
          <w:rFonts w:ascii="Cambria" w:hAnsi="Cambria" w:cstheme="majorHAnsi"/>
          <w:sz w:val="24"/>
          <w:szCs w:val="24"/>
        </w:rPr>
        <w:t xml:space="preserve"> do Município de Miraíma/CE, sob o </w:t>
      </w:r>
      <w:r>
        <w:rPr>
          <w:rFonts w:ascii="Cambria" w:hAnsi="Cambria" w:cstheme="majorHAnsi"/>
          <w:b/>
          <w:bCs/>
          <w:sz w:val="24"/>
          <w:szCs w:val="24"/>
        </w:rPr>
        <w:t>ID nº 346.</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3. REQUISITOS DA CONTRATAÇÃO</w:t>
      </w:r>
    </w:p>
    <w:p>
      <w:pPr>
        <w:pStyle w:val="NormalWeb"/>
        <w:tabs>
          <w:tab w:val="left" w:pos="5103"/>
        </w:tabs>
        <w:spacing w:before="0" w:beforeAutospacing="0" w:after="0" w:afterAutospacing="0"/>
        <w:ind w:firstLine="851"/>
        <w:jc w:val="both"/>
        <w:rPr>
          <w:rFonts w:ascii="Cambria" w:hAnsi="Cambria"/>
        </w:rPr>
      </w:pPr>
      <w:r>
        <w:rPr>
          <w:rFonts w:ascii="Cambria" w:hAnsi="Cambria"/>
        </w:rPr>
        <w:t>A contratação deverá observar requisitos mínimos indispensáveis à adequada execução do objeto, garantindo a qualidade, segurança, durabilidade e funcionalidade dos equipamentos a serem adquiridos.</w:t>
      </w:r>
    </w:p>
    <w:p>
      <w:pPr>
        <w:pStyle w:val="NormalWeb"/>
        <w:tabs>
          <w:tab w:val="left" w:pos="5103"/>
        </w:tabs>
        <w:spacing w:before="0" w:beforeAutospacing="0" w:after="0" w:afterAutospacing="0"/>
        <w:ind w:firstLine="851"/>
        <w:jc w:val="both"/>
        <w:rPr>
          <w:rFonts w:ascii="Cambria" w:hAnsi="Cambria"/>
        </w:rPr>
      </w:pPr>
      <w:r>
        <w:rPr>
          <w:rFonts w:ascii="Cambria" w:hAnsi="Cambria"/>
        </w:rPr>
        <w:t>Os equipamentos de academia ao ar livre deverão ser novos, sem uso, fabricados com materiais resistentes às condições climáticas, especialmente à exposição solar e à umidade, devendo possuir tratamento anticorrosivo e pintura eletrostática, assegurando maior vida útil.</w:t>
      </w:r>
    </w:p>
    <w:p>
      <w:pPr>
        <w:pStyle w:val="NormalWeb"/>
        <w:tabs>
          <w:tab w:val="left" w:pos="5103"/>
        </w:tabs>
        <w:spacing w:before="0" w:beforeAutospacing="0" w:after="0" w:afterAutospacing="0"/>
        <w:ind w:firstLine="851"/>
        <w:jc w:val="both"/>
        <w:rPr>
          <w:rFonts w:ascii="Cambria" w:hAnsi="Cambria"/>
        </w:rPr>
      </w:pPr>
      <w:r>
        <w:rPr>
          <w:rFonts w:ascii="Cambria" w:hAnsi="Cambria"/>
        </w:rPr>
        <w:t>Deverão, ainda, atender às normas técnicas vigentes, especialmente aquelas relacionadas à segurança e ergonomia, proporcionando o uso adequado por pessoas de diferentes faixas etárias, incluindo adultos e idosos, minimizando riscos de acidentes.</w:t>
      </w:r>
    </w:p>
    <w:p>
      <w:pPr>
        <w:pStyle w:val="NormalWeb"/>
        <w:tabs>
          <w:tab w:val="left" w:pos="5103"/>
        </w:tabs>
        <w:spacing w:before="0" w:beforeAutospacing="0" w:after="0" w:afterAutospacing="0"/>
        <w:ind w:firstLine="851"/>
        <w:jc w:val="both"/>
        <w:rPr>
          <w:rFonts w:ascii="Cambria" w:hAnsi="Cambria"/>
        </w:rPr>
      </w:pPr>
      <w:r>
        <w:rPr>
          <w:rFonts w:ascii="Cambria" w:hAnsi="Cambria"/>
        </w:rPr>
        <w:t>A empresa contratada deverá garantir a entrega, instalação e fixação adequada dos equipamentos nos locais indicados pela Administração, incluindo todos os insumos, mão de obra e ferramentas necessárias à perfeita execução do objeto.</w:t>
      </w:r>
    </w:p>
    <w:p>
      <w:pPr>
        <w:pStyle w:val="NormalWeb"/>
        <w:tabs>
          <w:tab w:val="left" w:pos="5103"/>
        </w:tabs>
        <w:spacing w:before="0" w:beforeAutospacing="0" w:after="0" w:afterAutospacing="0"/>
        <w:ind w:firstLine="851"/>
        <w:jc w:val="both"/>
        <w:rPr>
          <w:rFonts w:ascii="Cambria" w:hAnsi="Cambria"/>
        </w:rPr>
      </w:pPr>
      <w:r>
        <w:rPr>
          <w:rFonts w:ascii="Cambria" w:hAnsi="Cambria"/>
        </w:rPr>
        <w:lastRenderedPageBreak/>
        <w:t>Também será exigida garantia mínima dos equipamentos, a ser definida no Termo de Referência, bem como assistência técnica durante o período de garantia, assegurando a manutenção corretiva em caso de defeitos de fabricação.</w:t>
      </w:r>
    </w:p>
    <w:p>
      <w:pPr>
        <w:pStyle w:val="NormalWeb"/>
        <w:tabs>
          <w:tab w:val="left" w:pos="5103"/>
        </w:tabs>
        <w:spacing w:before="0" w:beforeAutospacing="0" w:after="0" w:afterAutospacing="0"/>
        <w:ind w:firstLine="851"/>
        <w:jc w:val="both"/>
        <w:rPr>
          <w:rFonts w:ascii="Cambria" w:hAnsi="Cambria"/>
        </w:rPr>
      </w:pPr>
      <w:r>
        <w:rPr>
          <w:rFonts w:ascii="Cambria" w:hAnsi="Cambria"/>
        </w:rPr>
        <w:t>Além disso, a contratada deverá cumprir os prazos estabelecidos, bem como todas as obrigações legais, fiscais, trabalhistas e ambientais pertinentes, garantindo a regularidade da execução contratual.</w:t>
      </w:r>
    </w:p>
    <w:p>
      <w:pPr>
        <w:pStyle w:val="NormalWeb"/>
        <w:tabs>
          <w:tab w:val="left" w:pos="5103"/>
        </w:tabs>
        <w:spacing w:before="0" w:beforeAutospacing="0" w:after="0" w:afterAutospacing="0"/>
        <w:ind w:firstLine="851"/>
        <w:jc w:val="both"/>
        <w:rPr>
          <w:rFonts w:ascii="Cambria" w:hAnsi="Cambria"/>
        </w:rPr>
      </w:pPr>
      <w:r>
        <w:rPr>
          <w:rFonts w:ascii="Cambria" w:hAnsi="Cambria"/>
        </w:rPr>
        <w:t>Por fim, a contratação deverá observar critérios de sustentabilidade, sempre que possível, com a utilização de materiais que causem menor impacto ambiental e que promovam a durabilidade dos equipamentos, reduzindo a necessidade de substituições frequentes.</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4. ESTIMATIVAS DAS QUANTIDADES PARA A CONTRATAÇÃO</w:t>
      </w:r>
    </w:p>
    <w:p>
      <w:pPr>
        <w:tabs>
          <w:tab w:val="left" w:pos="5103"/>
        </w:tabs>
        <w:ind w:firstLine="851"/>
        <w:jc w:val="both"/>
        <w:rPr>
          <w:rFonts w:ascii="Cambria" w:hAnsi="Cambria" w:cstheme="majorHAnsi"/>
          <w:sz w:val="24"/>
          <w:szCs w:val="24"/>
        </w:rPr>
      </w:pPr>
      <w:r>
        <w:rPr>
          <w:rFonts w:ascii="Cambria" w:hAnsi="Cambria" w:cstheme="majorHAnsi"/>
          <w:sz w:val="24"/>
          <w:szCs w:val="24"/>
        </w:rPr>
        <w:t>A estimativa das quantidades a serem contratadas foi definida com base na análise das necessidades do Município de Miraíma/CE, considerando a implantação de academias ao ar livre em espaços públicos estratégicos, como praças, áreas de convivência e locais com maior circulação de pessoas.</w:t>
      </w:r>
    </w:p>
    <w:p>
      <w:pPr>
        <w:tabs>
          <w:tab w:val="left" w:pos="5103"/>
        </w:tabs>
        <w:ind w:firstLine="851"/>
        <w:jc w:val="both"/>
        <w:rPr>
          <w:rFonts w:ascii="Cambria" w:hAnsi="Cambria" w:cstheme="majorHAnsi"/>
          <w:sz w:val="24"/>
          <w:szCs w:val="24"/>
        </w:rPr>
      </w:pPr>
      <w:r>
        <w:rPr>
          <w:rFonts w:ascii="Cambria" w:hAnsi="Cambria" w:cstheme="majorHAnsi"/>
          <w:sz w:val="24"/>
          <w:szCs w:val="24"/>
        </w:rPr>
        <w:t>Para cada unidade de academia ao ar livre, prevê-se a aquisição de um conjunto básico de equipamentos, composto por itens que atendam diferentes grupos musculares e possibilitem a utilização por usuários de diversas faixas etárias, especialmente jovens, adultos e idosos.</w:t>
      </w:r>
    </w:p>
    <w:p>
      <w:pPr>
        <w:tabs>
          <w:tab w:val="left" w:pos="5103"/>
        </w:tabs>
        <w:ind w:firstLine="851"/>
        <w:jc w:val="both"/>
        <w:rPr>
          <w:rFonts w:ascii="Cambria" w:hAnsi="Cambria" w:cstheme="majorHAnsi"/>
          <w:sz w:val="24"/>
          <w:szCs w:val="24"/>
        </w:rPr>
      </w:pPr>
      <w:r>
        <w:rPr>
          <w:rFonts w:ascii="Cambria" w:hAnsi="Cambria" w:cstheme="majorHAnsi"/>
          <w:sz w:val="24"/>
          <w:szCs w:val="24"/>
        </w:rPr>
        <w:t>Dessa forma, estima-se a aquisição de conjuntos contendo, entre outros, equipamentos como simulador de caminhada, simulador de cavalgada, esqui, multiexercitador, rotação diagonal, alongador, pressão de pernas e barras para exercícios, observando-se a padronização dos itens para garantir uniformidade e funcionalidade dos espaços.</w:t>
      </w:r>
    </w:p>
    <w:p>
      <w:pPr>
        <w:tabs>
          <w:tab w:val="left" w:pos="5103"/>
        </w:tabs>
        <w:ind w:firstLine="851"/>
        <w:jc w:val="both"/>
        <w:rPr>
          <w:rFonts w:ascii="Cambria" w:hAnsi="Cambria" w:cstheme="majorHAnsi"/>
          <w:sz w:val="24"/>
          <w:szCs w:val="24"/>
        </w:rPr>
      </w:pPr>
      <w:r>
        <w:rPr>
          <w:rFonts w:ascii="Cambria" w:hAnsi="Cambria" w:cstheme="majorHAnsi"/>
          <w:sz w:val="24"/>
          <w:szCs w:val="24"/>
        </w:rPr>
        <w:t>A definição quantitativa considerará o número de locais a serem contemplados pela Administração, podendo variar conforme a disponibilidade orçamentária e o planejamento da Secretaria, sendo previsto, inicialmente, a implantação de academias em múltiplos pontos do município.</w:t>
      </w:r>
    </w:p>
    <w:p>
      <w:pPr>
        <w:tabs>
          <w:tab w:val="left" w:pos="5103"/>
        </w:tabs>
        <w:ind w:firstLine="851"/>
        <w:jc w:val="both"/>
        <w:rPr>
          <w:rFonts w:ascii="Cambria" w:hAnsi="Cambria" w:cstheme="majorHAnsi"/>
          <w:sz w:val="24"/>
          <w:szCs w:val="24"/>
        </w:rPr>
      </w:pPr>
      <w:r>
        <w:rPr>
          <w:rFonts w:ascii="Cambria" w:hAnsi="Cambria" w:cstheme="majorHAnsi"/>
          <w:sz w:val="24"/>
          <w:szCs w:val="24"/>
        </w:rPr>
        <w:t>Ressalta-se que os quantitativos apresentados possuem caráter estimativo, podendo ser ajustados na fase de elaboração do Termo de Referência, conforme levantamento técnico mais detalhado e a real necessidade da Administração, assegurando a eficiência e economicidade da contratação.</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5. LEVANTAMENTO DE MERCADO</w:t>
      </w:r>
    </w:p>
    <w:p>
      <w:pPr>
        <w:tabs>
          <w:tab w:val="left" w:pos="5103"/>
        </w:tabs>
        <w:ind w:firstLine="851"/>
        <w:jc w:val="both"/>
        <w:rPr>
          <w:rFonts w:ascii="Cambria" w:hAnsi="Cambria" w:cstheme="majorHAnsi"/>
          <w:sz w:val="24"/>
          <w:szCs w:val="24"/>
        </w:rPr>
      </w:pPr>
      <w:r>
        <w:rPr>
          <w:rFonts w:ascii="Cambria" w:hAnsi="Cambria" w:cstheme="majorHAnsi"/>
          <w:sz w:val="24"/>
          <w:szCs w:val="24"/>
        </w:rPr>
        <w:t>O levantamento de mercado evidencia a existência de diferentes alternativas para atendimento da necessidade da Administração Pública quanto à implantação de academias ao ar livre, sendo possível identificar as seguintes soluções:</w:t>
      </w:r>
    </w:p>
    <w:p>
      <w:pPr>
        <w:pStyle w:val="PargrafodaLista"/>
        <w:numPr>
          <w:ilvl w:val="0"/>
          <w:numId w:val="42"/>
        </w:numPr>
        <w:tabs>
          <w:tab w:val="left" w:pos="5103"/>
        </w:tabs>
        <w:ind w:left="0" w:firstLine="0"/>
        <w:jc w:val="both"/>
        <w:rPr>
          <w:rFonts w:ascii="Cambria" w:hAnsi="Cambria" w:cstheme="majorHAnsi"/>
          <w:b/>
          <w:bCs/>
          <w:sz w:val="24"/>
          <w:szCs w:val="24"/>
        </w:rPr>
      </w:pPr>
      <w:r>
        <w:rPr>
          <w:rFonts w:ascii="Cambria" w:hAnsi="Cambria" w:cstheme="majorHAnsi"/>
          <w:b/>
          <w:bCs/>
          <w:sz w:val="24"/>
          <w:szCs w:val="24"/>
        </w:rPr>
        <w:t>Contratação de empresa especializada para o fornecimento dos materiais com instalação inclusa:</w:t>
      </w:r>
    </w:p>
    <w:p>
      <w:pPr>
        <w:tabs>
          <w:tab w:val="left" w:pos="5103"/>
        </w:tabs>
        <w:ind w:firstLine="851"/>
        <w:jc w:val="both"/>
        <w:rPr>
          <w:rFonts w:ascii="Cambria" w:hAnsi="Cambria" w:cstheme="majorHAnsi"/>
          <w:sz w:val="24"/>
          <w:szCs w:val="24"/>
        </w:rPr>
      </w:pPr>
      <w:r>
        <w:rPr>
          <w:rFonts w:ascii="Cambria" w:hAnsi="Cambria" w:cstheme="majorHAnsi"/>
          <w:sz w:val="24"/>
          <w:szCs w:val="24"/>
        </w:rPr>
        <w:t>Trata-se da solução mais adotada pela Administração Pública, na qual a empresa contratada é responsável pelo fornecimento dos equipamentos, transporte, montagem e instalação completa nos locais indicados. Essa alternativa apresenta maior praticidade, padronização dos equipamentos, garantia integrada e menor risco de falhas na execução, sendo considerada mais eficiente sob o ponto de vista técnico e operacional.</w:t>
      </w:r>
    </w:p>
    <w:p>
      <w:pPr>
        <w:pStyle w:val="PargrafodaLista"/>
        <w:numPr>
          <w:ilvl w:val="0"/>
          <w:numId w:val="42"/>
        </w:numPr>
        <w:tabs>
          <w:tab w:val="left" w:pos="5103"/>
        </w:tabs>
        <w:ind w:left="0" w:firstLine="0"/>
        <w:jc w:val="both"/>
        <w:rPr>
          <w:rFonts w:ascii="Cambria" w:hAnsi="Cambria" w:cstheme="majorHAnsi"/>
          <w:b/>
          <w:bCs/>
          <w:sz w:val="24"/>
          <w:szCs w:val="24"/>
        </w:rPr>
      </w:pPr>
      <w:r>
        <w:rPr>
          <w:rFonts w:ascii="Cambria" w:hAnsi="Cambria" w:cstheme="majorHAnsi"/>
          <w:b/>
          <w:bCs/>
          <w:sz w:val="24"/>
          <w:szCs w:val="24"/>
        </w:rPr>
        <w:t>Aquisição dos materiais com contratação separada de mão de obra para instalação:</w:t>
      </w:r>
    </w:p>
    <w:p>
      <w:pPr>
        <w:tabs>
          <w:tab w:val="left" w:pos="5103"/>
        </w:tabs>
        <w:ind w:firstLine="851"/>
        <w:jc w:val="both"/>
        <w:rPr>
          <w:rFonts w:ascii="Cambria" w:hAnsi="Cambria" w:cstheme="majorHAnsi"/>
          <w:b/>
          <w:bCs/>
          <w:sz w:val="24"/>
          <w:szCs w:val="24"/>
        </w:rPr>
      </w:pPr>
      <w:r>
        <w:rPr>
          <w:rFonts w:ascii="Cambria" w:hAnsi="Cambria" w:cstheme="majorHAnsi"/>
          <w:sz w:val="24"/>
          <w:szCs w:val="24"/>
        </w:rPr>
        <w:t xml:space="preserve">Nessa hipótese, a Administração realiza a compra dos equipamentos junto a fornecedores e, posteriormente, contrata profissional ou empresa distinta para realizar a instalação. Embora possa, em tese, permitir maior controle sobre custos, essa alternativa tende </w:t>
      </w:r>
      <w:r>
        <w:rPr>
          <w:rFonts w:ascii="Cambria" w:hAnsi="Cambria" w:cstheme="majorHAnsi"/>
          <w:sz w:val="24"/>
          <w:szCs w:val="24"/>
        </w:rPr>
        <w:lastRenderedPageBreak/>
        <w:t>a aumentar a complexidade da gestão contratual, além de apresentar riscos quanto à compatibilidade técnica entre os equipamentos e a instalação, bem como dificuldades na responsabilização em caso de defeitos ou falhas.</w:t>
      </w:r>
    </w:p>
    <w:p>
      <w:pPr>
        <w:tabs>
          <w:tab w:val="left" w:pos="5103"/>
        </w:tabs>
        <w:jc w:val="both"/>
        <w:rPr>
          <w:rFonts w:ascii="Cambria" w:hAnsi="Cambria" w:cstheme="majorHAnsi"/>
          <w:b/>
          <w:bCs/>
          <w:sz w:val="24"/>
          <w:szCs w:val="24"/>
        </w:rPr>
      </w:pPr>
      <w:r>
        <w:rPr>
          <w:rFonts w:ascii="Cambria" w:hAnsi="Cambria" w:cstheme="majorHAnsi"/>
          <w:b/>
          <w:bCs/>
          <w:sz w:val="24"/>
          <w:szCs w:val="24"/>
        </w:rPr>
        <w:t>c) Fabricação dos aparelhos pela própria Administração ou por terceiros sob encomenda:</w:t>
      </w:r>
    </w:p>
    <w:p>
      <w:pPr>
        <w:tabs>
          <w:tab w:val="left" w:pos="5103"/>
        </w:tabs>
        <w:ind w:firstLine="851"/>
        <w:jc w:val="both"/>
        <w:rPr>
          <w:rFonts w:ascii="Cambria" w:hAnsi="Cambria" w:cstheme="majorHAnsi"/>
          <w:sz w:val="24"/>
          <w:szCs w:val="24"/>
        </w:rPr>
      </w:pPr>
      <w:r>
        <w:rPr>
          <w:rFonts w:ascii="Cambria" w:hAnsi="Cambria" w:cstheme="majorHAnsi"/>
          <w:sz w:val="24"/>
          <w:szCs w:val="24"/>
        </w:rPr>
        <w:t>Essa solução consiste na produção dos equipamentos, seja por meio de estrutura própria (o que, em regra, não é viável para a maioria dos municípios), seja por contratação específica para fabricação. Apesar de possibilitar personalização, apresenta desvantagens relevantes, como ausência de padronização técnica certificada, maior risco quanto à qualidade e segurança dos equipamentos, além da dificuldade de garantia e manutenção.</w:t>
      </w:r>
    </w:p>
    <w:p>
      <w:pPr>
        <w:tabs>
          <w:tab w:val="left" w:pos="5103"/>
        </w:tabs>
        <w:ind w:firstLine="851"/>
        <w:jc w:val="both"/>
        <w:rPr>
          <w:rFonts w:ascii="Cambria" w:hAnsi="Cambria" w:cstheme="majorHAnsi"/>
          <w:sz w:val="24"/>
          <w:szCs w:val="24"/>
        </w:rPr>
      </w:pPr>
      <w:r>
        <w:rPr>
          <w:rFonts w:ascii="Cambria" w:hAnsi="Cambria" w:cstheme="majorHAnsi"/>
          <w:sz w:val="24"/>
          <w:szCs w:val="24"/>
        </w:rPr>
        <w:t>Diante das alternativas analisadas, verifica-se que a contratação de empresa especializada para fornecimento e instalação se mostra a solução mais vantajosa para a Administração, por reunir maior eficiência, segurança, padronização, garantia e economicidade, além de reduzir riscos operacionais e facilitar a gestão contratual.</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6. ESTIMATIVA DO VALOR DA CONTRATAÇÃO</w:t>
      </w:r>
    </w:p>
    <w:p>
      <w:pPr>
        <w:tabs>
          <w:tab w:val="left" w:pos="5103"/>
        </w:tabs>
        <w:ind w:firstLine="567"/>
        <w:jc w:val="both"/>
        <w:rPr>
          <w:rFonts w:ascii="Cambria" w:hAnsi="Cambria" w:cstheme="majorHAnsi"/>
          <w:sz w:val="24"/>
          <w:szCs w:val="24"/>
        </w:rPr>
      </w:pPr>
      <w:r>
        <w:rPr>
          <w:rFonts w:ascii="Cambria" w:hAnsi="Cambria" w:cstheme="majorHAnsi"/>
          <w:sz w:val="24"/>
          <w:szCs w:val="24"/>
        </w:rPr>
        <w:t>A estimativa do valor da contratação foi realizada com base em pesquisa de preços obtida a partir de contratações públicas similares, visando assegurar compatibilidade com os valores praticados no mercado e atendimento ao princípio da economicidade.</w:t>
      </w:r>
    </w:p>
    <w:p>
      <w:pPr>
        <w:tabs>
          <w:tab w:val="left" w:pos="5103"/>
        </w:tabs>
        <w:ind w:firstLine="567"/>
        <w:jc w:val="both"/>
        <w:rPr>
          <w:rFonts w:ascii="Cambria" w:hAnsi="Cambria" w:cstheme="majorHAnsi"/>
          <w:sz w:val="24"/>
          <w:szCs w:val="24"/>
        </w:rPr>
      </w:pPr>
      <w:r>
        <w:rPr>
          <w:rFonts w:ascii="Cambria" w:hAnsi="Cambria" w:cstheme="majorHAnsi"/>
          <w:sz w:val="24"/>
          <w:szCs w:val="24"/>
        </w:rPr>
        <w:t>Foram identificadas duas contratações com objeto semelhante: uma realizada pelo Município de Solonópole/CE, no valor de R$ 223.500,00 (duzentos e vinte e três mil e quinhentos reais), e outra realizada pelo Município de Jaguaretama/CE, no valor de R$ 347.345,04 (trezentos e quarenta e sete mil, trezentos e quarenta e cinco reais e quatro centavos).</w:t>
      </w:r>
    </w:p>
    <w:p>
      <w:pPr>
        <w:tabs>
          <w:tab w:val="left" w:pos="5103"/>
        </w:tabs>
        <w:ind w:firstLine="567"/>
        <w:jc w:val="both"/>
        <w:rPr>
          <w:rFonts w:ascii="Cambria" w:hAnsi="Cambria" w:cstheme="majorHAnsi"/>
          <w:sz w:val="24"/>
          <w:szCs w:val="24"/>
        </w:rPr>
      </w:pPr>
      <w:r>
        <w:rPr>
          <w:rFonts w:ascii="Cambria" w:hAnsi="Cambria" w:cstheme="majorHAnsi"/>
          <w:sz w:val="24"/>
          <w:szCs w:val="24"/>
        </w:rPr>
        <w:t>A partir desses valores, foi adotada a média aritmética como parâmetro para a presente contratação, resultando no montante estimado de R$ 285.422,52 (duzentos e oitenta e cinco mil, quatrocentos e vinte e dois reais e cinquenta e dois centavos).</w:t>
      </w:r>
    </w:p>
    <w:p>
      <w:pPr>
        <w:tabs>
          <w:tab w:val="left" w:pos="5103"/>
        </w:tabs>
        <w:ind w:firstLine="567"/>
        <w:jc w:val="both"/>
        <w:rPr>
          <w:rFonts w:ascii="Cambria" w:hAnsi="Cambria" w:cstheme="majorHAnsi"/>
          <w:sz w:val="24"/>
          <w:szCs w:val="24"/>
        </w:rPr>
      </w:pPr>
      <w:r>
        <w:rPr>
          <w:rFonts w:ascii="Cambria" w:hAnsi="Cambria" w:cstheme="majorHAnsi"/>
          <w:sz w:val="24"/>
          <w:szCs w:val="24"/>
        </w:rPr>
        <w:t>Ressalta-se que o valor estimado possui caráter preliminar, podendo ser ajustado na fase de elaboração do Termo de Referência, mediante pesquisa de preços mais detalhada e definição precisa dos quantitativos e especificações técnicas, garantindo maior precisão e adequação ao interesse público.</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7. DESCRIÇÃO DA SOLUÇÃO</w:t>
      </w:r>
    </w:p>
    <w:p>
      <w:pPr>
        <w:tabs>
          <w:tab w:val="left" w:pos="5103"/>
        </w:tabs>
        <w:ind w:firstLine="720"/>
        <w:jc w:val="both"/>
        <w:rPr>
          <w:rFonts w:ascii="Cambria" w:hAnsi="Cambria" w:cstheme="majorHAnsi"/>
          <w:sz w:val="24"/>
          <w:szCs w:val="24"/>
        </w:rPr>
      </w:pPr>
      <w:r>
        <w:rPr>
          <w:rFonts w:ascii="Cambria" w:hAnsi="Cambria" w:cstheme="majorHAnsi"/>
          <w:sz w:val="24"/>
          <w:szCs w:val="24"/>
        </w:rPr>
        <w:t xml:space="preserve">A solução proposta consiste na </w:t>
      </w:r>
      <w:r>
        <w:rPr>
          <w:rFonts w:ascii="Cambria" w:hAnsi="Cambria" w:cstheme="majorHAnsi"/>
          <w:b/>
          <w:bCs/>
          <w:sz w:val="24"/>
          <w:szCs w:val="24"/>
        </w:rPr>
        <w:t>contratação de empresa especializada para o fornecimento e instalação de equipamentos de academia ao ar livre</w:t>
      </w:r>
      <w:r>
        <w:rPr>
          <w:rFonts w:ascii="Cambria" w:hAnsi="Cambria" w:cstheme="majorHAnsi"/>
          <w:sz w:val="24"/>
          <w:szCs w:val="24"/>
        </w:rPr>
        <w:t>, a serem implantados em espaços públicos do Município de Miraíma/CE, conforme definição da Secretaria de Infraestrutura e Serviços Públicos.</w:t>
      </w:r>
    </w:p>
    <w:p>
      <w:pPr>
        <w:tabs>
          <w:tab w:val="left" w:pos="5103"/>
        </w:tabs>
        <w:ind w:firstLine="720"/>
        <w:jc w:val="both"/>
        <w:rPr>
          <w:rFonts w:ascii="Cambria" w:hAnsi="Cambria" w:cstheme="majorHAnsi"/>
          <w:sz w:val="24"/>
          <w:szCs w:val="24"/>
        </w:rPr>
      </w:pPr>
      <w:r>
        <w:rPr>
          <w:rFonts w:ascii="Cambria" w:hAnsi="Cambria" w:cstheme="majorHAnsi"/>
          <w:sz w:val="24"/>
          <w:szCs w:val="24"/>
        </w:rPr>
        <w:t>A contratação abrangerá o fornecimento de equipamentos novos, devidamente certificados e adequados ao uso em áreas externas, incluindo itens como simuladores de caminhada, esqui, multiexercitador, alongador, rotação diagonal, entre outros, que possibilitem a prática de exercícios físicos voltados ao fortalecimento muscular, alongamento e atividades aeróbicas.</w:t>
      </w:r>
    </w:p>
    <w:p>
      <w:pPr>
        <w:tabs>
          <w:tab w:val="left" w:pos="5103"/>
        </w:tabs>
        <w:ind w:firstLine="720"/>
        <w:jc w:val="both"/>
        <w:rPr>
          <w:rFonts w:ascii="Cambria" w:hAnsi="Cambria" w:cstheme="majorHAnsi"/>
          <w:sz w:val="24"/>
          <w:szCs w:val="24"/>
        </w:rPr>
      </w:pPr>
      <w:r>
        <w:rPr>
          <w:rFonts w:ascii="Cambria" w:hAnsi="Cambria" w:cstheme="majorHAnsi"/>
          <w:sz w:val="24"/>
          <w:szCs w:val="24"/>
        </w:rPr>
        <w:t>Além do fornecimento, a solução contempla a execução dos serviços de transporte, montagem e instalação completa dos equipamentos, incluindo fixação em bases apropriadas, garantindo segurança, estabilidade e pleno funcionamento, conforme normas técnicas aplicáveis.</w:t>
      </w:r>
    </w:p>
    <w:p>
      <w:pPr>
        <w:tabs>
          <w:tab w:val="left" w:pos="5103"/>
        </w:tabs>
        <w:ind w:firstLine="720"/>
        <w:jc w:val="both"/>
        <w:rPr>
          <w:rFonts w:ascii="Cambria" w:hAnsi="Cambria" w:cstheme="majorHAnsi"/>
          <w:sz w:val="24"/>
          <w:szCs w:val="24"/>
        </w:rPr>
      </w:pPr>
      <w:r>
        <w:rPr>
          <w:rFonts w:ascii="Cambria" w:hAnsi="Cambria" w:cstheme="majorHAnsi"/>
          <w:sz w:val="24"/>
          <w:szCs w:val="24"/>
        </w:rPr>
        <w:t xml:space="preserve">A empresa contratada também será responsável por assegurar a qualidade dos materiais utilizados, com equipamentos fabricados em estruturas resistentes, dotados de tratamento </w:t>
      </w:r>
      <w:r>
        <w:rPr>
          <w:rFonts w:ascii="Cambria" w:hAnsi="Cambria" w:cstheme="majorHAnsi"/>
          <w:sz w:val="24"/>
          <w:szCs w:val="24"/>
        </w:rPr>
        <w:lastRenderedPageBreak/>
        <w:t>anticorrosivo e pintura adequada para suportar as condições climáticas, bem como oferecer garantia mínima e assistência técnica durante o período contratual.</w:t>
      </w:r>
    </w:p>
    <w:p>
      <w:pPr>
        <w:tabs>
          <w:tab w:val="left" w:pos="5103"/>
        </w:tabs>
        <w:ind w:firstLine="720"/>
        <w:jc w:val="both"/>
        <w:rPr>
          <w:rFonts w:ascii="Cambria" w:hAnsi="Cambria" w:cstheme="majorHAnsi"/>
          <w:sz w:val="24"/>
          <w:szCs w:val="24"/>
        </w:rPr>
      </w:pPr>
      <w:r>
        <w:rPr>
          <w:rFonts w:ascii="Cambria" w:hAnsi="Cambria" w:cstheme="majorHAnsi"/>
          <w:sz w:val="24"/>
          <w:szCs w:val="24"/>
        </w:rPr>
        <w:t>A escolha dessa solução justifica-se por proporcionar maior eficiência administrativa, padronização dos equipamentos, redução de riscos operacionais e melhor custo-benefício, uma vez que centraliza a responsabilidade em um único fornecedor, facilitando a fiscalização e a gestão contratual.</w:t>
      </w:r>
    </w:p>
    <w:p>
      <w:pPr>
        <w:tabs>
          <w:tab w:val="left" w:pos="5103"/>
        </w:tabs>
        <w:ind w:firstLine="720"/>
        <w:jc w:val="both"/>
        <w:rPr>
          <w:rFonts w:ascii="Cambria" w:hAnsi="Cambria" w:cstheme="majorHAnsi"/>
          <w:sz w:val="24"/>
          <w:szCs w:val="24"/>
        </w:rPr>
      </w:pPr>
      <w:r>
        <w:rPr>
          <w:rFonts w:ascii="Cambria" w:hAnsi="Cambria" w:cstheme="majorHAnsi"/>
          <w:sz w:val="24"/>
          <w:szCs w:val="24"/>
        </w:rPr>
        <w:t>Dessa forma, a solução apresentada atende de forma adequada à necessidade identificada, promovendo a implantação de espaços públicos voltados à saúde, lazer e bem-estar da população do Município de Miraíma/CE.</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8. JUSTIFICATIVAS PARA O PARCELAMENTO DA CONTRATAÇÃO</w:t>
      </w:r>
    </w:p>
    <w:p>
      <w:pPr>
        <w:tabs>
          <w:tab w:val="left" w:pos="5103"/>
        </w:tabs>
        <w:ind w:firstLine="851"/>
        <w:jc w:val="both"/>
        <w:rPr>
          <w:rFonts w:ascii="Cambria" w:hAnsi="Cambria" w:cstheme="majorHAnsi"/>
          <w:sz w:val="24"/>
          <w:szCs w:val="24"/>
        </w:rPr>
      </w:pPr>
      <w:r>
        <w:rPr>
          <w:rFonts w:ascii="Cambria" w:hAnsi="Cambria" w:cstheme="majorHAnsi"/>
          <w:sz w:val="24"/>
          <w:szCs w:val="24"/>
        </w:rPr>
        <w:t>A análise quanto ao parcelamento da contratação foi realizada à luz do princípio da economicidade e da eficiência, bem como da viabilidade técnica e operacional do objeto a ser contratado.</w:t>
      </w:r>
    </w:p>
    <w:p>
      <w:pPr>
        <w:tabs>
          <w:tab w:val="left" w:pos="5103"/>
        </w:tabs>
        <w:ind w:firstLine="851"/>
        <w:jc w:val="both"/>
        <w:rPr>
          <w:rFonts w:ascii="Cambria" w:hAnsi="Cambria" w:cstheme="majorHAnsi"/>
          <w:sz w:val="24"/>
          <w:szCs w:val="24"/>
        </w:rPr>
      </w:pPr>
      <w:r>
        <w:rPr>
          <w:rFonts w:ascii="Cambria" w:hAnsi="Cambria" w:cstheme="majorHAnsi"/>
          <w:sz w:val="24"/>
          <w:szCs w:val="24"/>
        </w:rPr>
        <w:t>No presente caso, verifica-se que o objeto consiste no fornecimento e instalação de equipamentos para academia ao ar livre, sendo tais serviços interdependentes e complementares, uma vez que a adequada instalação dos equipamentos está diretamente vinculada às especificações técnicas dos próprios itens fornecidos.</w:t>
      </w:r>
    </w:p>
    <w:p>
      <w:pPr>
        <w:tabs>
          <w:tab w:val="left" w:pos="5103"/>
        </w:tabs>
        <w:ind w:firstLine="851"/>
        <w:jc w:val="both"/>
        <w:rPr>
          <w:rFonts w:ascii="Cambria" w:hAnsi="Cambria" w:cstheme="majorHAnsi"/>
          <w:sz w:val="24"/>
          <w:szCs w:val="24"/>
        </w:rPr>
      </w:pPr>
      <w:r>
        <w:rPr>
          <w:rFonts w:ascii="Cambria" w:hAnsi="Cambria" w:cstheme="majorHAnsi"/>
          <w:sz w:val="24"/>
          <w:szCs w:val="24"/>
        </w:rPr>
        <w:t>Dessa forma, o parcelamento da contratação, com a separação entre fornecimento e instalação, não se mostra tecnicamente recomendável, pois poderia gerar incompatibilidades entre os equipamentos adquiridos e sua instalação, além de dificultar a responsabilização em caso de falhas, defeitos ou mau funcionamento.</w:t>
      </w:r>
    </w:p>
    <w:p>
      <w:pPr>
        <w:tabs>
          <w:tab w:val="left" w:pos="5103"/>
        </w:tabs>
        <w:ind w:firstLine="851"/>
        <w:jc w:val="both"/>
        <w:rPr>
          <w:rFonts w:ascii="Cambria" w:hAnsi="Cambria" w:cstheme="majorHAnsi"/>
          <w:sz w:val="24"/>
          <w:szCs w:val="24"/>
        </w:rPr>
      </w:pPr>
      <w:r>
        <w:rPr>
          <w:rFonts w:ascii="Cambria" w:hAnsi="Cambria" w:cstheme="majorHAnsi"/>
          <w:sz w:val="24"/>
          <w:szCs w:val="24"/>
        </w:rPr>
        <w:t>Ademais, a contratação de forma unificada tende a proporcionar ganhos de escala, maior padronização dos equipamentos, otimização dos prazos e redução de custos administrativos, contribuindo para uma gestão contratual mais eficiente.</w:t>
      </w:r>
    </w:p>
    <w:p>
      <w:pPr>
        <w:tabs>
          <w:tab w:val="left" w:pos="5103"/>
        </w:tabs>
        <w:ind w:firstLine="851"/>
        <w:jc w:val="both"/>
        <w:rPr>
          <w:rFonts w:ascii="Cambria" w:hAnsi="Cambria" w:cstheme="majorHAnsi"/>
          <w:sz w:val="24"/>
          <w:szCs w:val="24"/>
        </w:rPr>
      </w:pPr>
      <w:r>
        <w:rPr>
          <w:rFonts w:ascii="Cambria" w:hAnsi="Cambria" w:cstheme="majorHAnsi"/>
          <w:sz w:val="24"/>
          <w:szCs w:val="24"/>
        </w:rPr>
        <w:t>Ressalta-se que o não parcelamento não compromete a competitividade do certame, tendo em vista que o mercado dispõe de diversas empresas aptas a fornecer a solução completa, conforme verificado no levantamento de mercado.</w:t>
      </w:r>
    </w:p>
    <w:p>
      <w:pPr>
        <w:tabs>
          <w:tab w:val="left" w:pos="5103"/>
        </w:tabs>
        <w:ind w:firstLine="851"/>
        <w:jc w:val="both"/>
        <w:rPr>
          <w:rFonts w:ascii="Cambria" w:hAnsi="Cambria" w:cstheme="majorHAnsi"/>
          <w:sz w:val="24"/>
          <w:szCs w:val="24"/>
        </w:rPr>
      </w:pPr>
      <w:r>
        <w:rPr>
          <w:rFonts w:ascii="Cambria" w:hAnsi="Cambria" w:cstheme="majorHAnsi"/>
          <w:sz w:val="24"/>
          <w:szCs w:val="24"/>
        </w:rPr>
        <w:t>Diante do exposto, conclui-se que a contratação deverá ocorrer de forma integral, sem parcelamento, por se tratar da alternativa mais vantajosa para a Administração Pública, garantindo maior eficiência, segurança e economicidade.</w:t>
      </w:r>
    </w:p>
    <w:p>
      <w:pPr>
        <w:tabs>
          <w:tab w:val="left" w:pos="5103"/>
        </w:tabs>
        <w:ind w:firstLine="851"/>
        <w:jc w:val="both"/>
        <w:rPr>
          <w:rFonts w:ascii="Cambria" w:hAnsi="Cambria" w:cstheme="majorHAnsi"/>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9. DEMONSTRATIVO DOS RESULTADOS PRETENDIDOS</w:t>
      </w:r>
    </w:p>
    <w:p>
      <w:pPr>
        <w:tabs>
          <w:tab w:val="left" w:pos="5103"/>
        </w:tabs>
        <w:ind w:firstLine="851"/>
        <w:jc w:val="both"/>
        <w:rPr>
          <w:rFonts w:ascii="Cambria" w:hAnsi="Cambria" w:cstheme="majorHAnsi"/>
          <w:sz w:val="24"/>
          <w:szCs w:val="24"/>
        </w:rPr>
      </w:pPr>
      <w:r>
        <w:rPr>
          <w:rFonts w:ascii="Cambria" w:hAnsi="Cambria" w:cstheme="majorHAnsi"/>
          <w:sz w:val="24"/>
          <w:szCs w:val="24"/>
        </w:rPr>
        <w:t>A presente contratação tem como objetivo alcançar resultados que promovam benefícios diretos à população e à Administração Pública, especialmente no que se refere à melhoria da qualidade de vida, saúde e utilização dos espaços públicos.</w:t>
      </w:r>
    </w:p>
    <w:p>
      <w:pPr>
        <w:tabs>
          <w:tab w:val="left" w:pos="5103"/>
        </w:tabs>
        <w:ind w:firstLine="851"/>
        <w:jc w:val="both"/>
        <w:rPr>
          <w:rFonts w:ascii="Cambria" w:hAnsi="Cambria" w:cstheme="majorHAnsi"/>
          <w:sz w:val="24"/>
          <w:szCs w:val="24"/>
        </w:rPr>
      </w:pPr>
      <w:r>
        <w:rPr>
          <w:rFonts w:ascii="Cambria" w:hAnsi="Cambria" w:cstheme="majorHAnsi"/>
          <w:sz w:val="24"/>
          <w:szCs w:val="24"/>
        </w:rPr>
        <w:t>Com a implantação das academias ao ar livre, espera-se ampliar o acesso da população à prática de atividades físicas de forma gratuita e acessível, incentivando a adoção de hábitos saudáveis e contribuindo para a prevenção de doenças crônicas, como hipertensão, diabetes e obesidade.</w:t>
      </w:r>
    </w:p>
    <w:p>
      <w:pPr>
        <w:tabs>
          <w:tab w:val="left" w:pos="5103"/>
        </w:tabs>
        <w:ind w:firstLine="851"/>
        <w:jc w:val="both"/>
        <w:rPr>
          <w:rFonts w:ascii="Cambria" w:hAnsi="Cambria" w:cstheme="majorHAnsi"/>
          <w:sz w:val="24"/>
          <w:szCs w:val="24"/>
        </w:rPr>
      </w:pPr>
      <w:r>
        <w:rPr>
          <w:rFonts w:ascii="Cambria" w:hAnsi="Cambria" w:cstheme="majorHAnsi"/>
          <w:sz w:val="24"/>
          <w:szCs w:val="24"/>
        </w:rPr>
        <w:t>Busca-se, ainda, proporcionar a requalificação e valorização dos espaços públicos, promovendo maior ocupação de praças e áreas de convivência, o que contribui para o fortalecimento do convívio social, do lazer comunitário e da sensação de segurança nesses locais.</w:t>
      </w:r>
    </w:p>
    <w:p>
      <w:pPr>
        <w:tabs>
          <w:tab w:val="left" w:pos="5103"/>
        </w:tabs>
        <w:ind w:firstLine="851"/>
        <w:jc w:val="both"/>
        <w:rPr>
          <w:rFonts w:ascii="Cambria" w:hAnsi="Cambria" w:cstheme="majorHAnsi"/>
          <w:sz w:val="24"/>
          <w:szCs w:val="24"/>
        </w:rPr>
      </w:pPr>
      <w:r>
        <w:rPr>
          <w:rFonts w:ascii="Cambria" w:hAnsi="Cambria" w:cstheme="majorHAnsi"/>
          <w:sz w:val="24"/>
          <w:szCs w:val="24"/>
        </w:rPr>
        <w:t>Do ponto de vista administrativo, pretende-se garantir maior eficiência na aplicação dos recursos públicos, por meio da contratação de solução adequada, durável e de baixo custo de manutenção, reduzindo despesas futuras com reposição de equipamentos ou intervenções corretivas.</w:t>
      </w:r>
    </w:p>
    <w:p>
      <w:pPr>
        <w:tabs>
          <w:tab w:val="left" w:pos="5103"/>
        </w:tabs>
        <w:ind w:firstLine="851"/>
        <w:jc w:val="both"/>
        <w:rPr>
          <w:rFonts w:ascii="Cambria" w:hAnsi="Cambria" w:cstheme="majorHAnsi"/>
          <w:sz w:val="24"/>
          <w:szCs w:val="24"/>
        </w:rPr>
      </w:pPr>
      <w:r>
        <w:rPr>
          <w:rFonts w:ascii="Cambria" w:hAnsi="Cambria" w:cstheme="majorHAnsi"/>
          <w:sz w:val="24"/>
          <w:szCs w:val="24"/>
        </w:rPr>
        <w:lastRenderedPageBreak/>
        <w:t>Além disso, almeja-se assegurar a padronização e qualidade dos equipamentos instalados, proporcionando segurança aos usuários e ampliando a vida útil da infraestrutura implantada.</w:t>
      </w:r>
    </w:p>
    <w:p>
      <w:pPr>
        <w:tabs>
          <w:tab w:val="left" w:pos="5103"/>
        </w:tabs>
        <w:ind w:firstLine="851"/>
        <w:jc w:val="both"/>
        <w:rPr>
          <w:rFonts w:ascii="Cambria" w:hAnsi="Cambria" w:cstheme="majorHAnsi"/>
          <w:sz w:val="24"/>
          <w:szCs w:val="24"/>
        </w:rPr>
      </w:pPr>
      <w:r>
        <w:rPr>
          <w:rFonts w:ascii="Cambria" w:hAnsi="Cambria" w:cstheme="majorHAnsi"/>
          <w:sz w:val="24"/>
          <w:szCs w:val="24"/>
        </w:rPr>
        <w:t>Dessa forma, os resultados pretendidos estão alinhados às políticas públicas de promoção da saúde, bem-estar social e desenvolvimento urbano, atendendo ao interesse público e às necessidades do Município de Miraíma/CE.</w:t>
      </w:r>
    </w:p>
    <w:p>
      <w:pPr>
        <w:tabs>
          <w:tab w:val="left" w:pos="5103"/>
        </w:tabs>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10. PROVIDÊNCIAS PRÉ-CONTRATUAIS</w:t>
      </w:r>
    </w:p>
    <w:p>
      <w:pPr>
        <w:tabs>
          <w:tab w:val="left" w:pos="5103"/>
        </w:tabs>
        <w:ind w:firstLine="851"/>
        <w:rPr>
          <w:rFonts w:ascii="Cambria" w:hAnsi="Cambria" w:cstheme="majorHAnsi"/>
          <w:sz w:val="24"/>
          <w:szCs w:val="24"/>
        </w:rPr>
      </w:pPr>
      <w:r>
        <w:rPr>
          <w:rFonts w:ascii="Cambria" w:hAnsi="Cambria" w:cstheme="majorHAnsi"/>
          <w:sz w:val="24"/>
          <w:szCs w:val="24"/>
        </w:rPr>
        <w:t>Para a adequada execução da contratação pretendida, faz-se necessária a adoção de medidas prévias por parte da Administração, visando garantir o correto planejamento, a viabilidade técnica e a eficiência do processo licitatório.</w:t>
      </w:r>
    </w:p>
    <w:p>
      <w:pPr>
        <w:tabs>
          <w:tab w:val="left" w:pos="5103"/>
        </w:tabs>
        <w:ind w:firstLine="851"/>
        <w:rPr>
          <w:rFonts w:ascii="Cambria" w:hAnsi="Cambria" w:cstheme="majorHAnsi"/>
          <w:sz w:val="24"/>
          <w:szCs w:val="24"/>
        </w:rPr>
      </w:pPr>
      <w:r>
        <w:rPr>
          <w:rFonts w:ascii="Cambria" w:hAnsi="Cambria" w:cstheme="majorHAnsi"/>
          <w:sz w:val="24"/>
          <w:szCs w:val="24"/>
        </w:rPr>
        <w:t>Inicialmente, deverá ser realizado o levantamento detalhado dos locais onde serão instalados os equipamentos, com a devida análise das condições estruturais dos espaços públicos, a fim de assegurar que atendam aos requisitos necessários para a implantação das academias ao ar livre.</w:t>
      </w:r>
    </w:p>
    <w:p>
      <w:pPr>
        <w:tabs>
          <w:tab w:val="left" w:pos="5103"/>
        </w:tabs>
        <w:ind w:firstLine="851"/>
        <w:rPr>
          <w:rFonts w:ascii="Cambria" w:hAnsi="Cambria" w:cstheme="majorHAnsi"/>
          <w:sz w:val="24"/>
          <w:szCs w:val="24"/>
        </w:rPr>
      </w:pPr>
      <w:r>
        <w:rPr>
          <w:rFonts w:ascii="Cambria" w:hAnsi="Cambria" w:cstheme="majorHAnsi"/>
          <w:sz w:val="24"/>
          <w:szCs w:val="24"/>
        </w:rPr>
        <w:t>Deverá, ainda, ser elaborada a especificação técnica dos equipamentos a serem adquiridos, contendo descrição detalhada, quantitativos, padrões de qualidade, requisitos de segurança e demais características essenciais, subsidiando a elaboração do Termo de Referência.</w:t>
      </w:r>
    </w:p>
    <w:p>
      <w:pPr>
        <w:tabs>
          <w:tab w:val="left" w:pos="5103"/>
        </w:tabs>
        <w:ind w:firstLine="851"/>
        <w:rPr>
          <w:rFonts w:ascii="Cambria" w:hAnsi="Cambria" w:cstheme="majorHAnsi"/>
          <w:sz w:val="24"/>
          <w:szCs w:val="24"/>
        </w:rPr>
      </w:pPr>
      <w:r>
        <w:rPr>
          <w:rFonts w:ascii="Cambria" w:hAnsi="Cambria" w:cstheme="majorHAnsi"/>
          <w:sz w:val="24"/>
          <w:szCs w:val="24"/>
        </w:rPr>
        <w:t>Também será necessária a realização de pesquisa de preços mais ampla e atualizada, com vistas à consolidação do valor estimado da contratação, garantindo compatibilidade com os valores praticados no mercado.</w:t>
      </w:r>
    </w:p>
    <w:p>
      <w:pPr>
        <w:tabs>
          <w:tab w:val="left" w:pos="5103"/>
        </w:tabs>
        <w:ind w:firstLine="851"/>
        <w:rPr>
          <w:rFonts w:ascii="Cambria" w:hAnsi="Cambria" w:cstheme="majorHAnsi"/>
          <w:sz w:val="24"/>
          <w:szCs w:val="24"/>
        </w:rPr>
      </w:pPr>
      <w:r>
        <w:rPr>
          <w:rFonts w:ascii="Cambria" w:hAnsi="Cambria" w:cstheme="majorHAnsi"/>
          <w:sz w:val="24"/>
          <w:szCs w:val="24"/>
        </w:rPr>
        <w:t>Além disso, a Administração deverá verificar a disponibilidade orçamentária e a devida previsão dos recursos financeiros para suportar a despesa, bem como promover a elaboração dos documentos que instruirão o processo licitatório, como o Termo de Referência e minuta contratual.</w:t>
      </w:r>
    </w:p>
    <w:p>
      <w:pPr>
        <w:tabs>
          <w:tab w:val="left" w:pos="5103"/>
        </w:tabs>
        <w:ind w:firstLine="851"/>
        <w:rPr>
          <w:rFonts w:ascii="Cambria" w:hAnsi="Cambria" w:cstheme="majorHAnsi"/>
          <w:sz w:val="24"/>
          <w:szCs w:val="24"/>
        </w:rPr>
      </w:pPr>
      <w:r>
        <w:rPr>
          <w:rFonts w:ascii="Cambria" w:hAnsi="Cambria" w:cstheme="majorHAnsi"/>
          <w:sz w:val="24"/>
          <w:szCs w:val="24"/>
        </w:rPr>
        <w:t>Por fim, deverá ser designada equipe técnica responsável pelo acompanhamento e fiscalização da execução contratual, assegurando o cumprimento das obrigações por parte da futura contratada, desde a entrega até a instalação dos equipamentos.</w:t>
      </w:r>
    </w:p>
    <w:p>
      <w:pPr>
        <w:tabs>
          <w:tab w:val="left" w:pos="5103"/>
        </w:tabs>
        <w:ind w:firstLine="851"/>
        <w:rPr>
          <w:rFonts w:ascii="Cambria" w:hAnsi="Cambria" w:cstheme="majorHAnsi"/>
          <w:sz w:val="24"/>
          <w:szCs w:val="24"/>
        </w:rPr>
      </w:pPr>
      <w:r>
        <w:rPr>
          <w:rFonts w:ascii="Cambria" w:hAnsi="Cambria" w:cstheme="majorHAnsi"/>
          <w:sz w:val="24"/>
          <w:szCs w:val="24"/>
        </w:rPr>
        <w:t>Dessa forma, as providências pré-contratuais são essenciais para mitigar riscos, assegurar a regularidade do processo e garantir o sucesso da contratação.</w:t>
      </w:r>
    </w:p>
    <w:p>
      <w:pPr>
        <w:tabs>
          <w:tab w:val="left" w:pos="5103"/>
        </w:tabs>
        <w:ind w:firstLine="851"/>
        <w:rPr>
          <w:rFonts w:ascii="Cambria" w:hAnsi="Cambria" w:cstheme="majorHAnsi"/>
          <w:sz w:val="24"/>
          <w:szCs w:val="24"/>
        </w:rPr>
      </w:pPr>
    </w:p>
    <w:p>
      <w:pPr>
        <w:tabs>
          <w:tab w:val="left" w:pos="5103"/>
        </w:tabs>
        <w:rPr>
          <w:rFonts w:ascii="Cambria" w:hAnsi="Cambria" w:cstheme="majorHAnsi"/>
          <w:b/>
          <w:bCs/>
          <w:sz w:val="24"/>
          <w:szCs w:val="24"/>
        </w:rPr>
      </w:pPr>
      <w:r>
        <w:rPr>
          <w:rFonts w:ascii="Cambria" w:hAnsi="Cambria" w:cstheme="majorHAnsi"/>
          <w:b/>
          <w:bCs/>
          <w:sz w:val="24"/>
          <w:szCs w:val="24"/>
        </w:rPr>
        <w:t>11. CONTRATAÇÕES CORRELATAS E/OU INTERDEPENDENTES</w:t>
      </w:r>
    </w:p>
    <w:p>
      <w:pPr>
        <w:tabs>
          <w:tab w:val="left" w:pos="5103"/>
        </w:tabs>
        <w:ind w:firstLine="567"/>
        <w:jc w:val="both"/>
        <w:rPr>
          <w:rFonts w:ascii="Cambria" w:hAnsi="Cambria" w:cstheme="majorHAnsi"/>
          <w:sz w:val="24"/>
          <w:szCs w:val="24"/>
        </w:rPr>
      </w:pPr>
      <w:r>
        <w:rPr>
          <w:rFonts w:ascii="Cambria" w:hAnsi="Cambria" w:cstheme="majorHAnsi"/>
          <w:sz w:val="24"/>
          <w:szCs w:val="24"/>
        </w:rPr>
        <w:t>Para a execução do objeto em questão, não se identificam contratações correlatas ou interdependentes indispensáveis à sua efetivação, tendo em vista que a solução proposta contempla o fornecimento e a instalação completa dos equipamentos por uma única empresa contratada.</w:t>
      </w:r>
    </w:p>
    <w:p>
      <w:pPr>
        <w:tabs>
          <w:tab w:val="left" w:pos="5103"/>
        </w:tabs>
        <w:ind w:firstLine="567"/>
        <w:jc w:val="both"/>
        <w:rPr>
          <w:rFonts w:ascii="Cambria" w:hAnsi="Cambria" w:cstheme="majorHAnsi"/>
          <w:sz w:val="24"/>
          <w:szCs w:val="24"/>
        </w:rPr>
      </w:pPr>
      <w:r>
        <w:rPr>
          <w:rFonts w:ascii="Cambria" w:hAnsi="Cambria" w:cstheme="majorHAnsi"/>
          <w:sz w:val="24"/>
          <w:szCs w:val="24"/>
        </w:rPr>
        <w:t>Entretanto, ressalta-se que podem existir ações complementares por parte da Administração, como eventuais serviços de limpeza, nivelamento ou adequação dos espaços públicos onde os equipamentos serão instalados, os quais poderão ser realizados por equipes próprias do Município ou por meio de contratações já existentes.</w:t>
      </w:r>
    </w:p>
    <w:p>
      <w:pPr>
        <w:tabs>
          <w:tab w:val="left" w:pos="5103"/>
        </w:tabs>
        <w:ind w:firstLine="567"/>
        <w:jc w:val="both"/>
        <w:rPr>
          <w:rFonts w:ascii="Cambria" w:hAnsi="Cambria" w:cstheme="majorHAnsi"/>
          <w:sz w:val="24"/>
          <w:szCs w:val="24"/>
        </w:rPr>
      </w:pPr>
      <w:r>
        <w:rPr>
          <w:rFonts w:ascii="Cambria" w:hAnsi="Cambria" w:cstheme="majorHAnsi"/>
          <w:sz w:val="24"/>
          <w:szCs w:val="24"/>
        </w:rPr>
        <w:t>Destaca-se, ainda, que futuras contratações poderão ser realizadas de forma independente, como serviços de manutenção preventiva e corretiva dos equipamentos, caso não estejam abrangidos pela garantia contratual, bem como ações de ampliação ou implantação de novas unidades em outros locais do município.</w:t>
      </w:r>
    </w:p>
    <w:p>
      <w:pPr>
        <w:tabs>
          <w:tab w:val="left" w:pos="5103"/>
        </w:tabs>
        <w:ind w:firstLine="567"/>
        <w:jc w:val="both"/>
        <w:rPr>
          <w:rFonts w:ascii="Cambria" w:hAnsi="Cambria" w:cstheme="majorHAnsi"/>
          <w:sz w:val="24"/>
          <w:szCs w:val="24"/>
        </w:rPr>
      </w:pPr>
      <w:r>
        <w:rPr>
          <w:rFonts w:ascii="Cambria" w:hAnsi="Cambria" w:cstheme="majorHAnsi"/>
          <w:sz w:val="24"/>
          <w:szCs w:val="24"/>
        </w:rPr>
        <w:lastRenderedPageBreak/>
        <w:t>Dessa forma, conclui-se que a presente contratação não depende diretamente de outras para sua execução, sendo considerada autônoma, sem prejuízo de eventuais ações complementares que contribuam para a plena funcionalidade dos espaços públicos.</w:t>
      </w:r>
    </w:p>
    <w:p>
      <w:pPr>
        <w:tabs>
          <w:tab w:val="left" w:pos="5103"/>
        </w:tabs>
        <w:ind w:firstLine="567"/>
        <w:jc w:val="both"/>
        <w:rPr>
          <w:rFonts w:ascii="Cambria" w:hAnsi="Cambria" w:cstheme="majorHAnsi"/>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12. IMPACTOS AMBIENTAIS E MEDIDAS MITIGADORAS</w:t>
      </w:r>
    </w:p>
    <w:p>
      <w:pPr>
        <w:tabs>
          <w:tab w:val="left" w:pos="5103"/>
        </w:tabs>
        <w:ind w:firstLine="851"/>
        <w:jc w:val="both"/>
        <w:rPr>
          <w:rFonts w:ascii="Cambria" w:hAnsi="Cambria" w:cstheme="majorHAnsi"/>
          <w:sz w:val="24"/>
          <w:szCs w:val="24"/>
        </w:rPr>
      </w:pPr>
      <w:r>
        <w:rPr>
          <w:rFonts w:ascii="Cambria" w:hAnsi="Cambria" w:cstheme="majorHAnsi"/>
          <w:sz w:val="24"/>
          <w:szCs w:val="24"/>
        </w:rPr>
        <w:t>A contratação para aquisição e instalação de equipamentos de academia ao ar livre apresenta, em geral, baixo impacto ambiental, tendo em vista que se trata da implantação de estruturas simples em áreas já urbanizadas, como praças e espaços públicos previamente utilizados pela população.</w:t>
      </w:r>
    </w:p>
    <w:p>
      <w:pPr>
        <w:tabs>
          <w:tab w:val="left" w:pos="5103"/>
        </w:tabs>
        <w:ind w:firstLine="851"/>
        <w:jc w:val="both"/>
        <w:rPr>
          <w:rFonts w:ascii="Cambria" w:hAnsi="Cambria" w:cstheme="majorHAnsi"/>
          <w:sz w:val="24"/>
          <w:szCs w:val="24"/>
        </w:rPr>
      </w:pPr>
      <w:r>
        <w:rPr>
          <w:rFonts w:ascii="Cambria" w:hAnsi="Cambria" w:cstheme="majorHAnsi"/>
          <w:sz w:val="24"/>
          <w:szCs w:val="24"/>
        </w:rPr>
        <w:t>Entretanto, durante a fase de instalação, podem ocorrer impactos pontuais, como geração de resíduos sólidos (embalagens, sobras de materiais), pequenas intervenções no solo para fixação dos equipamentos, além de possíveis transtornos temporários à população local.</w:t>
      </w:r>
    </w:p>
    <w:p>
      <w:pPr>
        <w:tabs>
          <w:tab w:val="left" w:pos="5103"/>
        </w:tabs>
        <w:ind w:firstLine="851"/>
        <w:jc w:val="both"/>
        <w:rPr>
          <w:rFonts w:ascii="Cambria" w:hAnsi="Cambria" w:cstheme="majorHAnsi"/>
          <w:sz w:val="24"/>
          <w:szCs w:val="24"/>
        </w:rPr>
      </w:pPr>
      <w:r>
        <w:rPr>
          <w:rFonts w:ascii="Cambria" w:hAnsi="Cambria" w:cstheme="majorHAnsi"/>
          <w:sz w:val="24"/>
          <w:szCs w:val="24"/>
        </w:rPr>
        <w:t>Nesse sentido, como medidas mitigadoras, deverá ser exigido da empresa contratada:</w:t>
      </w:r>
    </w:p>
    <w:p>
      <w:pPr>
        <w:pStyle w:val="PargrafodaLista"/>
        <w:numPr>
          <w:ilvl w:val="0"/>
          <w:numId w:val="43"/>
        </w:numPr>
        <w:tabs>
          <w:tab w:val="num" w:pos="426"/>
          <w:tab w:val="left" w:pos="5103"/>
        </w:tabs>
        <w:ind w:left="0" w:firstLine="0"/>
        <w:jc w:val="both"/>
        <w:rPr>
          <w:rFonts w:ascii="Cambria" w:hAnsi="Cambria" w:cstheme="majorHAnsi"/>
          <w:sz w:val="24"/>
          <w:szCs w:val="24"/>
        </w:rPr>
      </w:pPr>
      <w:r>
        <w:rPr>
          <w:rFonts w:ascii="Cambria" w:hAnsi="Cambria" w:cstheme="majorHAnsi"/>
          <w:sz w:val="24"/>
          <w:szCs w:val="24"/>
        </w:rPr>
        <w:t xml:space="preserve">A correta destinação dos resíduos gerados durante a execução dos serviços, observando a legislação ambiental vigente; </w:t>
      </w:r>
    </w:p>
    <w:p>
      <w:pPr>
        <w:pStyle w:val="PargrafodaLista"/>
        <w:numPr>
          <w:ilvl w:val="0"/>
          <w:numId w:val="43"/>
        </w:numPr>
        <w:tabs>
          <w:tab w:val="num" w:pos="426"/>
          <w:tab w:val="left" w:pos="5103"/>
        </w:tabs>
        <w:ind w:left="0" w:firstLine="0"/>
        <w:jc w:val="both"/>
        <w:rPr>
          <w:rFonts w:ascii="Cambria" w:hAnsi="Cambria" w:cstheme="majorHAnsi"/>
          <w:sz w:val="24"/>
          <w:szCs w:val="24"/>
        </w:rPr>
      </w:pPr>
      <w:r>
        <w:rPr>
          <w:rFonts w:ascii="Cambria" w:hAnsi="Cambria" w:cstheme="majorHAnsi"/>
          <w:sz w:val="24"/>
          <w:szCs w:val="24"/>
        </w:rPr>
        <w:t xml:space="preserve">A adoção de práticas que minimizem danos ao solo e à vegetação existente, evitando intervenções desnecessárias; </w:t>
      </w:r>
    </w:p>
    <w:p>
      <w:pPr>
        <w:pStyle w:val="PargrafodaLista"/>
        <w:numPr>
          <w:ilvl w:val="0"/>
          <w:numId w:val="43"/>
        </w:numPr>
        <w:tabs>
          <w:tab w:val="num" w:pos="426"/>
          <w:tab w:val="left" w:pos="5103"/>
        </w:tabs>
        <w:ind w:left="0" w:firstLine="0"/>
        <w:jc w:val="both"/>
        <w:rPr>
          <w:rFonts w:ascii="Cambria" w:hAnsi="Cambria" w:cstheme="majorHAnsi"/>
          <w:sz w:val="24"/>
          <w:szCs w:val="24"/>
        </w:rPr>
      </w:pPr>
      <w:r>
        <w:rPr>
          <w:rFonts w:ascii="Cambria" w:hAnsi="Cambria" w:cstheme="majorHAnsi"/>
          <w:sz w:val="24"/>
          <w:szCs w:val="24"/>
        </w:rPr>
        <w:t xml:space="preserve">A organização e limpeza dos locais após a instalação dos equipamentos, garantindo a plena recuperação da área utilizada; </w:t>
      </w:r>
    </w:p>
    <w:p>
      <w:pPr>
        <w:pStyle w:val="PargrafodaLista"/>
        <w:numPr>
          <w:ilvl w:val="0"/>
          <w:numId w:val="43"/>
        </w:numPr>
        <w:tabs>
          <w:tab w:val="num" w:pos="426"/>
          <w:tab w:val="left" w:pos="5103"/>
        </w:tabs>
        <w:ind w:left="0" w:firstLine="0"/>
        <w:jc w:val="both"/>
        <w:rPr>
          <w:rFonts w:ascii="Cambria" w:hAnsi="Cambria" w:cstheme="majorHAnsi"/>
          <w:sz w:val="24"/>
          <w:szCs w:val="24"/>
        </w:rPr>
      </w:pPr>
      <w:r>
        <w:rPr>
          <w:rFonts w:ascii="Cambria" w:hAnsi="Cambria" w:cstheme="majorHAnsi"/>
          <w:sz w:val="24"/>
          <w:szCs w:val="24"/>
        </w:rPr>
        <w:t xml:space="preserve">A utilização de materiais duráveis e com tratamento anticorrosivo, reduzindo a necessidade de substituições frequentes e, consequentemente, a geração de resíduos ao longo do tempo. </w:t>
      </w:r>
    </w:p>
    <w:p>
      <w:pPr>
        <w:tabs>
          <w:tab w:val="left" w:pos="5103"/>
        </w:tabs>
        <w:ind w:firstLine="851"/>
        <w:jc w:val="both"/>
        <w:rPr>
          <w:rFonts w:ascii="Cambria" w:hAnsi="Cambria" w:cstheme="majorHAnsi"/>
          <w:sz w:val="24"/>
          <w:szCs w:val="24"/>
        </w:rPr>
      </w:pPr>
      <w:r>
        <w:rPr>
          <w:rFonts w:ascii="Cambria" w:hAnsi="Cambria" w:cstheme="majorHAnsi"/>
          <w:sz w:val="24"/>
          <w:szCs w:val="24"/>
        </w:rPr>
        <w:t>Adicionalmente, recomenda-se que a Administração priorize a instalação dos equipamentos em áreas já antropizadas, evitando a supressão de vegetação nativa e contribuindo para a preservação ambiental.</w:t>
      </w:r>
    </w:p>
    <w:p>
      <w:pPr>
        <w:tabs>
          <w:tab w:val="left" w:pos="5103"/>
        </w:tabs>
        <w:ind w:firstLine="851"/>
        <w:jc w:val="both"/>
        <w:rPr>
          <w:rFonts w:ascii="Cambria" w:hAnsi="Cambria" w:cstheme="majorHAnsi"/>
          <w:sz w:val="24"/>
          <w:szCs w:val="24"/>
        </w:rPr>
      </w:pPr>
      <w:r>
        <w:rPr>
          <w:rFonts w:ascii="Cambria" w:hAnsi="Cambria" w:cstheme="majorHAnsi"/>
          <w:sz w:val="24"/>
          <w:szCs w:val="24"/>
        </w:rPr>
        <w:t>Dessa forma, conclui-se que os impactos ambientais são mínimos e plenamente mitigáveis, desde que observadas as medidas propostas, garantindo a sustentabilidade da contratação e o respeito ao meio ambiente.</w:t>
      </w:r>
    </w:p>
    <w:p>
      <w:pPr>
        <w:tabs>
          <w:tab w:val="left" w:pos="5103"/>
        </w:tabs>
        <w:ind w:firstLine="851"/>
        <w:jc w:val="both"/>
        <w:rPr>
          <w:rFonts w:ascii="Cambria" w:hAnsi="Cambria" w:cstheme="majorHAnsi"/>
          <w:b/>
          <w:bCs/>
          <w:sz w:val="24"/>
          <w:szCs w:val="24"/>
        </w:rPr>
      </w:pPr>
    </w:p>
    <w:p>
      <w:pPr>
        <w:tabs>
          <w:tab w:val="left" w:pos="5103"/>
        </w:tabs>
        <w:jc w:val="both"/>
        <w:rPr>
          <w:rFonts w:ascii="Cambria" w:hAnsi="Cambria" w:cstheme="majorHAnsi"/>
          <w:b/>
          <w:bCs/>
          <w:sz w:val="24"/>
          <w:szCs w:val="24"/>
        </w:rPr>
      </w:pPr>
      <w:r>
        <w:rPr>
          <w:rFonts w:ascii="Cambria" w:hAnsi="Cambria" w:cstheme="majorHAnsi"/>
          <w:b/>
          <w:bCs/>
          <w:sz w:val="24"/>
          <w:szCs w:val="24"/>
        </w:rPr>
        <w:t>13. POSICIONAMENTO CONCLUSIVO</w:t>
      </w:r>
    </w:p>
    <w:p>
      <w:pPr>
        <w:tabs>
          <w:tab w:val="left" w:pos="5103"/>
        </w:tabs>
        <w:ind w:firstLine="567"/>
        <w:jc w:val="both"/>
        <w:rPr>
          <w:rFonts w:ascii="Cambria" w:hAnsi="Cambria" w:cstheme="majorHAnsi"/>
          <w:sz w:val="24"/>
          <w:szCs w:val="24"/>
        </w:rPr>
      </w:pPr>
      <w:r>
        <w:rPr>
          <w:rFonts w:ascii="Cambria" w:hAnsi="Cambria" w:cstheme="majorHAnsi"/>
          <w:sz w:val="24"/>
          <w:szCs w:val="24"/>
        </w:rPr>
        <w:t xml:space="preserve">Diante de todo o exposto no presente Estudo Técnico Preliminar, conclui-se que a contratação para aquisição e instalação de equipamentos de academia ao ar livre é </w:t>
      </w:r>
      <w:r>
        <w:rPr>
          <w:rFonts w:ascii="Cambria" w:hAnsi="Cambria" w:cstheme="majorHAnsi"/>
          <w:b/>
          <w:bCs/>
          <w:sz w:val="24"/>
          <w:szCs w:val="24"/>
        </w:rPr>
        <w:t>viável, necessária e adequada</w:t>
      </w:r>
      <w:r>
        <w:rPr>
          <w:rFonts w:ascii="Cambria" w:hAnsi="Cambria" w:cstheme="majorHAnsi"/>
          <w:sz w:val="24"/>
          <w:szCs w:val="24"/>
        </w:rPr>
        <w:t xml:space="preserve"> para atender ao interesse público do Município de Miraíma/CE.</w:t>
      </w:r>
    </w:p>
    <w:p>
      <w:pPr>
        <w:tabs>
          <w:tab w:val="left" w:pos="5103"/>
        </w:tabs>
        <w:ind w:firstLine="567"/>
        <w:jc w:val="both"/>
        <w:rPr>
          <w:rFonts w:ascii="Cambria" w:hAnsi="Cambria" w:cstheme="majorHAnsi"/>
          <w:sz w:val="24"/>
          <w:szCs w:val="24"/>
        </w:rPr>
      </w:pPr>
      <w:r>
        <w:rPr>
          <w:rFonts w:ascii="Cambria" w:hAnsi="Cambria" w:cstheme="majorHAnsi"/>
          <w:sz w:val="24"/>
          <w:szCs w:val="24"/>
        </w:rPr>
        <w:t>A análise realizada demonstrou a existência de demanda concreta, bem como a disponibilidade de soluções no mercado capazes de atender plenamente às necessidades da Administração, com diversidade de fornecedores e condições que asseguram a competitividade do certame.</w:t>
      </w:r>
    </w:p>
    <w:p>
      <w:pPr>
        <w:tabs>
          <w:tab w:val="left" w:pos="5103"/>
        </w:tabs>
        <w:ind w:firstLine="567"/>
        <w:jc w:val="both"/>
        <w:rPr>
          <w:rFonts w:ascii="Cambria" w:hAnsi="Cambria" w:cstheme="majorHAnsi"/>
          <w:sz w:val="24"/>
          <w:szCs w:val="24"/>
        </w:rPr>
      </w:pPr>
      <w:r>
        <w:rPr>
          <w:rFonts w:ascii="Cambria" w:hAnsi="Cambria" w:cstheme="majorHAnsi"/>
          <w:sz w:val="24"/>
          <w:szCs w:val="24"/>
        </w:rPr>
        <w:t>Verificou-se, ainda, que a solução mais vantajosa consiste na contratação de empresa especializada para o fornecimento e instalação dos equipamentos, de forma integrada, garantindo maior eficiência, padronização, segurança e facilidade na gestão contratual.</w:t>
      </w:r>
    </w:p>
    <w:p>
      <w:pPr>
        <w:tabs>
          <w:tab w:val="left" w:pos="5103"/>
        </w:tabs>
        <w:ind w:firstLine="567"/>
        <w:jc w:val="both"/>
        <w:rPr>
          <w:rFonts w:ascii="Cambria" w:hAnsi="Cambria" w:cstheme="majorHAnsi"/>
          <w:sz w:val="24"/>
          <w:szCs w:val="24"/>
        </w:rPr>
      </w:pPr>
      <w:r>
        <w:rPr>
          <w:rFonts w:ascii="Cambria" w:hAnsi="Cambria" w:cstheme="majorHAnsi"/>
          <w:sz w:val="24"/>
          <w:szCs w:val="24"/>
        </w:rPr>
        <w:t>O valor estimado mostra-se compatível com os preços praticados no mercado, e os impactos ambientais identificados são de baixa relevância, podendo ser devidamente mitigados por meio de medidas simples e eficazes.</w:t>
      </w:r>
    </w:p>
    <w:p>
      <w:pPr>
        <w:tabs>
          <w:tab w:val="left" w:pos="5103"/>
        </w:tabs>
        <w:ind w:firstLine="567"/>
        <w:jc w:val="both"/>
        <w:rPr>
          <w:rFonts w:ascii="Cambria" w:hAnsi="Cambria" w:cstheme="majorHAnsi"/>
          <w:sz w:val="24"/>
          <w:szCs w:val="24"/>
        </w:rPr>
      </w:pPr>
      <w:r>
        <w:rPr>
          <w:rFonts w:ascii="Cambria" w:hAnsi="Cambria" w:cstheme="majorHAnsi"/>
          <w:sz w:val="24"/>
          <w:szCs w:val="24"/>
        </w:rPr>
        <w:t>Além disso, a contratação está alinhada às diretrizes de planejamento urbano e de valorização dos espaços públicos, contribuindo para a qualificação da infraestrutura urbana, ampliação do uso adequado das áreas públicas e melhoria das condições de convivência social da população.</w:t>
      </w:r>
    </w:p>
    <w:p>
      <w:pPr>
        <w:tabs>
          <w:tab w:val="left" w:pos="5103"/>
        </w:tabs>
        <w:ind w:firstLine="567"/>
        <w:jc w:val="both"/>
        <w:rPr>
          <w:rFonts w:ascii="Cambria" w:hAnsi="Cambria" w:cstheme="majorHAnsi"/>
          <w:sz w:val="24"/>
          <w:szCs w:val="24"/>
        </w:rPr>
      </w:pPr>
      <w:r>
        <w:rPr>
          <w:rFonts w:ascii="Cambria" w:hAnsi="Cambria" w:cstheme="majorHAnsi"/>
          <w:sz w:val="24"/>
          <w:szCs w:val="24"/>
        </w:rPr>
        <w:lastRenderedPageBreak/>
        <w:t>Dessa forma, opina-se favoravelmente pela continuidade do processo, com a elaboração do Termo de Referência e demais atos necessários à realização do procedimento licitatório, visando à efetiva contratação da solução proposta.</w:t>
      </w:r>
    </w:p>
    <w:p>
      <w:pPr>
        <w:spacing w:after="160" w:line="259" w:lineRule="auto"/>
        <w:rPr>
          <w:rFonts w:ascii="Cambria" w:hAnsi="Cambria" w:cstheme="majorHAnsi"/>
          <w:sz w:val="24"/>
          <w:szCs w:val="24"/>
        </w:rPr>
      </w:pPr>
      <w:r>
        <w:rPr>
          <w:rFonts w:ascii="Cambria" w:hAnsi="Cambria" w:cstheme="majorHAnsi"/>
          <w:sz w:val="24"/>
          <w:szCs w:val="24"/>
        </w:rPr>
        <w:br w:type="page"/>
      </w:r>
    </w:p>
    <w:p>
      <w:pPr>
        <w:pStyle w:val="Ttulo1"/>
        <w:shd w:val="clear" w:color="auto" w:fill="000099"/>
        <w:tabs>
          <w:tab w:val="left" w:pos="5103"/>
        </w:tabs>
        <w:jc w:val="center"/>
        <w:rPr>
          <w:rFonts w:ascii="Cambria" w:hAnsi="Cambria"/>
          <w:b/>
          <w:bCs/>
          <w:color w:val="FFFFFF" w:themeColor="background1"/>
          <w:sz w:val="24"/>
          <w:szCs w:val="24"/>
        </w:rPr>
      </w:pPr>
      <w:bookmarkStart w:id="66" w:name="_heading=h.1v1yuxt" w:colFirst="0" w:colLast="0"/>
      <w:bookmarkEnd w:id="66"/>
      <w:r>
        <w:rPr>
          <w:rFonts w:ascii="Cambria" w:hAnsi="Cambria"/>
          <w:b/>
          <w:bCs/>
          <w:color w:val="FFFFFF" w:themeColor="background1"/>
          <w:sz w:val="24"/>
          <w:szCs w:val="24"/>
        </w:rPr>
        <w:lastRenderedPageBreak/>
        <w:t>ANEXO II - MODELO DA PROPOSTA DE PREÇOS</w:t>
      </w:r>
    </w:p>
    <w:p>
      <w:pPr>
        <w:tabs>
          <w:tab w:val="left" w:pos="5103"/>
        </w:tabs>
        <w:spacing w:line="276" w:lineRule="auto"/>
        <w:rPr>
          <w:rFonts w:ascii="Cambria" w:eastAsia="Arial" w:hAnsi="Cambria" w:cs="Arial"/>
          <w:b/>
          <w:sz w:val="24"/>
          <w:szCs w:val="24"/>
        </w:rPr>
      </w:pPr>
    </w:p>
    <w:p>
      <w:pPr>
        <w:tabs>
          <w:tab w:val="left" w:pos="5103"/>
        </w:tabs>
        <w:ind w:right="283"/>
        <w:jc w:val="both"/>
        <w:rPr>
          <w:rFonts w:ascii="Cambria" w:eastAsia="Arial" w:hAnsi="Cambria" w:cs="Arial"/>
          <w:sz w:val="24"/>
          <w:szCs w:val="24"/>
        </w:rPr>
      </w:pPr>
      <w:r>
        <w:rPr>
          <w:rFonts w:ascii="Cambria" w:eastAsia="Arial" w:hAnsi="Cambria" w:cs="Arial"/>
          <w:sz w:val="24"/>
          <w:szCs w:val="24"/>
        </w:rPr>
        <w:t>A(O) PREGOEIRO(A) DA PREFEITURA MUNICIPAL DE MIRAÍMA</w:t>
      </w:r>
    </w:p>
    <w:p>
      <w:pPr>
        <w:tabs>
          <w:tab w:val="left" w:pos="5103"/>
        </w:tabs>
        <w:ind w:left="142" w:right="283" w:firstLine="1134"/>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sz w:val="24"/>
          <w:szCs w:val="24"/>
        </w:rPr>
        <w:t>Processo: PREGÃO ELETRÔNICO Nº [NÚMERO DO PREGÃO]</w:t>
      </w:r>
    </w:p>
    <w:p>
      <w:pPr>
        <w:tabs>
          <w:tab w:val="left" w:pos="5103"/>
        </w:tabs>
        <w:jc w:val="both"/>
        <w:rPr>
          <w:rFonts w:ascii="Cambria" w:eastAsia="Arial" w:hAnsi="Cambria" w:cs="Arial"/>
          <w:sz w:val="24"/>
          <w:szCs w:val="24"/>
        </w:rPr>
      </w:pPr>
      <w:r>
        <w:rPr>
          <w:rFonts w:ascii="Cambria" w:eastAsia="Arial" w:hAnsi="Cambria" w:cs="Arial"/>
          <w:sz w:val="24"/>
          <w:szCs w:val="24"/>
        </w:rPr>
        <w:t>Data e Hora de Abertura: ___________________ às ________ horas</w:t>
      </w:r>
    </w:p>
    <w:p>
      <w:pPr>
        <w:tabs>
          <w:tab w:val="left" w:pos="5103"/>
        </w:tabs>
        <w:jc w:val="both"/>
        <w:rPr>
          <w:rFonts w:ascii="Cambria" w:eastAsia="Arial" w:hAnsi="Cambria" w:cs="Arial"/>
          <w:sz w:val="24"/>
          <w:szCs w:val="24"/>
        </w:rPr>
      </w:pPr>
      <w:r>
        <w:rPr>
          <w:rFonts w:ascii="Cambria" w:eastAsia="Arial" w:hAnsi="Cambria" w:cs="Arial"/>
          <w:sz w:val="24"/>
          <w:szCs w:val="24"/>
        </w:rPr>
        <w:t>Razão Social: ____ CNPJ: ___________</w:t>
      </w:r>
    </w:p>
    <w:p>
      <w:pPr>
        <w:tabs>
          <w:tab w:val="left" w:pos="5103"/>
        </w:tabs>
        <w:jc w:val="both"/>
        <w:rPr>
          <w:rFonts w:ascii="Cambria" w:eastAsia="Arial" w:hAnsi="Cambria" w:cs="Arial"/>
          <w:sz w:val="24"/>
          <w:szCs w:val="24"/>
        </w:rPr>
      </w:pPr>
      <w:r>
        <w:rPr>
          <w:rFonts w:ascii="Cambria" w:eastAsia="Arial" w:hAnsi="Cambria" w:cs="Arial"/>
          <w:sz w:val="24"/>
          <w:szCs w:val="24"/>
        </w:rPr>
        <w:t>Endereço: ______ CEP: ___</w:t>
      </w:r>
    </w:p>
    <w:p>
      <w:pPr>
        <w:tabs>
          <w:tab w:val="left" w:pos="5103"/>
        </w:tabs>
        <w:jc w:val="both"/>
        <w:rPr>
          <w:rFonts w:ascii="Cambria" w:eastAsia="Arial" w:hAnsi="Cambria" w:cs="Arial"/>
          <w:sz w:val="24"/>
          <w:szCs w:val="24"/>
        </w:rPr>
      </w:pPr>
      <w:r>
        <w:rPr>
          <w:rFonts w:ascii="Cambria" w:eastAsia="Arial" w:hAnsi="Cambria" w:cs="Arial"/>
          <w:sz w:val="24"/>
          <w:szCs w:val="24"/>
        </w:rPr>
        <w:t>Fone: _____ Fax: ________</w:t>
      </w:r>
    </w:p>
    <w:p>
      <w:pPr>
        <w:tabs>
          <w:tab w:val="left" w:pos="5103"/>
        </w:tabs>
        <w:jc w:val="both"/>
        <w:rPr>
          <w:rFonts w:ascii="Cambria" w:eastAsia="Arial" w:hAnsi="Cambria" w:cs="Arial"/>
          <w:sz w:val="24"/>
          <w:szCs w:val="24"/>
        </w:rPr>
      </w:pPr>
      <w:r>
        <w:rPr>
          <w:rFonts w:ascii="Cambria" w:eastAsia="Arial" w:hAnsi="Cambria" w:cs="Arial"/>
          <w:sz w:val="24"/>
          <w:szCs w:val="24"/>
        </w:rPr>
        <w:t>Banco: ____ Agência N.º: _______ Conta Corrente n.º: ___</w:t>
      </w:r>
    </w:p>
    <w:p>
      <w:pPr>
        <w:tabs>
          <w:tab w:val="left" w:pos="5103"/>
        </w:tabs>
        <w:jc w:val="both"/>
        <w:rPr>
          <w:rFonts w:ascii="Cambria" w:eastAsia="Arial" w:hAnsi="Cambria" w:cs="Arial"/>
          <w:b/>
          <w:sz w:val="24"/>
          <w:szCs w:val="24"/>
        </w:rPr>
      </w:pPr>
      <w:r>
        <w:rPr>
          <w:rFonts w:ascii="Cambria" w:eastAsia="Arial" w:hAnsi="Cambria" w:cs="Arial"/>
          <w:b/>
          <w:sz w:val="24"/>
          <w:szCs w:val="24"/>
        </w:rPr>
        <w:t>E-mail:________________________________________</w:t>
      </w:r>
    </w:p>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 xml:space="preserve">OBJETO: </w:t>
      </w:r>
      <w:r>
        <w:rPr>
          <w:rFonts w:ascii="Cambria" w:eastAsia="Arial" w:hAnsi="Cambria" w:cs="Arial"/>
          <w:sz w:val="24"/>
          <w:szCs w:val="24"/>
        </w:rPr>
        <w:t>&lt;OBJETO&gt;.</w:t>
      </w:r>
    </w:p>
    <w:p>
      <w:pPr>
        <w:tabs>
          <w:tab w:val="left" w:pos="5103"/>
        </w:tabs>
        <w:jc w:val="both"/>
        <w:rPr>
          <w:rFonts w:ascii="Cambria" w:eastAsia="Arial" w:hAnsi="Cambria" w:cs="Arial"/>
          <w:b/>
          <w:sz w:val="24"/>
          <w:szCs w:val="24"/>
        </w:rPr>
      </w:pPr>
    </w:p>
    <w:p>
      <w:pPr>
        <w:tabs>
          <w:tab w:val="left" w:pos="5103"/>
        </w:tabs>
        <w:jc w:val="center"/>
        <w:rPr>
          <w:rFonts w:ascii="Cambria" w:eastAsia="Arial" w:hAnsi="Cambria" w:cs="Arial"/>
          <w:b/>
          <w:sz w:val="24"/>
          <w:szCs w:val="24"/>
        </w:rPr>
      </w:pPr>
      <w:bookmarkStart w:id="67" w:name="_heading=h.4f1mdlm" w:colFirst="0" w:colLast="0"/>
      <w:bookmarkEnd w:id="67"/>
      <w:r>
        <w:rPr>
          <w:rFonts w:ascii="Cambria" w:eastAsia="Arial" w:hAnsi="Cambria" w:cs="Arial"/>
          <w:b/>
          <w:sz w:val="24"/>
          <w:szCs w:val="24"/>
        </w:rPr>
        <w:t>LOTE ___</w:t>
      </w:r>
    </w:p>
    <w:p>
      <w:pPr>
        <w:tabs>
          <w:tab w:val="left" w:pos="5103"/>
        </w:tabs>
        <w:jc w:val="center"/>
        <w:rPr>
          <w:rFonts w:ascii="Cambria" w:eastAsia="Arial" w:hAnsi="Cambria" w:cs="Arial"/>
          <w:b/>
          <w:sz w:val="24"/>
          <w:szCs w:val="24"/>
        </w:rPr>
      </w:pPr>
    </w:p>
    <w:tbl>
      <w:tblPr>
        <w:tblW w:w="10418" w:type="dxa"/>
        <w:tblInd w:w="-75" w:type="dxa"/>
        <w:tblLayout w:type="fixed"/>
        <w:tblLook w:val="0400" w:firstRow="0" w:lastRow="0" w:firstColumn="0" w:lastColumn="0" w:noHBand="0" w:noVBand="1"/>
      </w:tblPr>
      <w:tblGrid>
        <w:gridCol w:w="548"/>
        <w:gridCol w:w="3883"/>
        <w:gridCol w:w="1278"/>
        <w:gridCol w:w="954"/>
        <w:gridCol w:w="1057"/>
        <w:gridCol w:w="1281"/>
        <w:gridCol w:w="1417"/>
      </w:tblGrid>
      <w:tr>
        <w:trPr>
          <w:cantSplit/>
          <w:trHeight w:val="290"/>
        </w:trPr>
        <w:tc>
          <w:tcPr>
            <w:tcW w:w="548" w:type="dxa"/>
            <w:tcBorders>
              <w:top w:val="single" w:sz="4" w:space="0" w:color="000000"/>
              <w:left w:val="single" w:sz="4" w:space="0" w:color="000000"/>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Nº</w:t>
            </w:r>
          </w:p>
        </w:tc>
        <w:tc>
          <w:tcPr>
            <w:tcW w:w="3883" w:type="dxa"/>
            <w:tcBorders>
              <w:top w:val="single" w:sz="4" w:space="0" w:color="000000"/>
              <w:left w:val="nil"/>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DESCRIÇÃO</w:t>
            </w:r>
          </w:p>
        </w:tc>
        <w:tc>
          <w:tcPr>
            <w:tcW w:w="1278" w:type="dxa"/>
            <w:tcBorders>
              <w:top w:val="single" w:sz="4" w:space="0" w:color="000000"/>
              <w:left w:val="nil"/>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QTDE</w:t>
            </w:r>
          </w:p>
        </w:tc>
        <w:tc>
          <w:tcPr>
            <w:tcW w:w="954" w:type="dxa"/>
            <w:tcBorders>
              <w:top w:val="single" w:sz="4" w:space="0" w:color="000000"/>
              <w:left w:val="nil"/>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MARCA</w:t>
            </w:r>
          </w:p>
        </w:tc>
        <w:tc>
          <w:tcPr>
            <w:tcW w:w="1057" w:type="dxa"/>
            <w:tcBorders>
              <w:top w:val="single" w:sz="4" w:space="0" w:color="000000"/>
              <w:left w:val="single" w:sz="4" w:space="0" w:color="000000"/>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UNIDADE</w:t>
            </w:r>
          </w:p>
        </w:tc>
        <w:tc>
          <w:tcPr>
            <w:tcW w:w="1281" w:type="dxa"/>
            <w:tcBorders>
              <w:top w:val="single" w:sz="4" w:space="0" w:color="000000"/>
              <w:left w:val="single" w:sz="4" w:space="0" w:color="000000"/>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V. UNT.</w:t>
            </w:r>
          </w:p>
        </w:tc>
        <w:tc>
          <w:tcPr>
            <w:tcW w:w="1417" w:type="dxa"/>
            <w:tcBorders>
              <w:top w:val="single" w:sz="4" w:space="0" w:color="000000"/>
              <w:left w:val="nil"/>
              <w:bottom w:val="single" w:sz="4" w:space="0" w:color="000000"/>
              <w:right w:val="single" w:sz="4" w:space="0" w:color="000000"/>
            </w:tcBorders>
            <w:shd w:val="clear" w:color="auto" w:fill="000099"/>
            <w:vAlign w:val="center"/>
          </w:tcPr>
          <w:p>
            <w:pPr>
              <w:tabs>
                <w:tab w:val="left" w:pos="5103"/>
              </w:tabs>
              <w:jc w:val="center"/>
              <w:rPr>
                <w:rFonts w:ascii="Cambria" w:eastAsia="Arial" w:hAnsi="Cambria" w:cs="Arial"/>
                <w:b/>
                <w:sz w:val="24"/>
                <w:szCs w:val="24"/>
              </w:rPr>
            </w:pPr>
            <w:r>
              <w:rPr>
                <w:rFonts w:ascii="Cambria" w:eastAsia="Arial" w:hAnsi="Cambria" w:cs="Arial"/>
                <w:b/>
                <w:sz w:val="24"/>
                <w:szCs w:val="24"/>
              </w:rPr>
              <w:t>VALOR TOTAL</w:t>
            </w:r>
          </w:p>
        </w:tc>
      </w:tr>
      <w:tr>
        <w:trPr>
          <w:cantSplit/>
        </w:trPr>
        <w:tc>
          <w:tcPr>
            <w:tcW w:w="548" w:type="dxa"/>
            <w:tcBorders>
              <w:top w:val="nil"/>
              <w:left w:val="single" w:sz="4" w:space="0" w:color="000000"/>
              <w:bottom w:val="single" w:sz="4" w:space="0" w:color="000000"/>
              <w:right w:val="single" w:sz="4" w:space="0" w:color="000000"/>
            </w:tcBorders>
            <w:vAlign w:val="center"/>
          </w:tcPr>
          <w:p>
            <w:pPr>
              <w:tabs>
                <w:tab w:val="left" w:pos="5103"/>
              </w:tabs>
              <w:jc w:val="center"/>
              <w:rPr>
                <w:rFonts w:ascii="Cambria" w:eastAsia="Arial" w:hAnsi="Cambria" w:cs="Arial"/>
                <w:sz w:val="24"/>
                <w:szCs w:val="24"/>
              </w:rPr>
            </w:pPr>
          </w:p>
        </w:tc>
        <w:tc>
          <w:tcPr>
            <w:tcW w:w="3883" w:type="dxa"/>
            <w:tcBorders>
              <w:top w:val="nil"/>
              <w:left w:val="nil"/>
              <w:bottom w:val="single" w:sz="4" w:space="0" w:color="000000"/>
              <w:right w:val="single" w:sz="4" w:space="0" w:color="000000"/>
            </w:tcBorders>
            <w:vAlign w:val="center"/>
          </w:tcPr>
          <w:p>
            <w:pPr>
              <w:tabs>
                <w:tab w:val="left" w:pos="5103"/>
              </w:tabs>
              <w:jc w:val="both"/>
              <w:rPr>
                <w:rFonts w:ascii="Cambria" w:eastAsia="Arial" w:hAnsi="Cambria" w:cs="Arial"/>
                <w:sz w:val="24"/>
                <w:szCs w:val="24"/>
              </w:rPr>
            </w:pPr>
          </w:p>
        </w:tc>
        <w:tc>
          <w:tcPr>
            <w:tcW w:w="1278" w:type="dxa"/>
            <w:tcBorders>
              <w:top w:val="nil"/>
              <w:left w:val="nil"/>
              <w:bottom w:val="single" w:sz="4" w:space="0" w:color="000000"/>
              <w:right w:val="single" w:sz="4" w:space="0" w:color="000000"/>
            </w:tcBorders>
            <w:vAlign w:val="center"/>
          </w:tcPr>
          <w:p>
            <w:pPr>
              <w:tabs>
                <w:tab w:val="left" w:pos="5103"/>
              </w:tabs>
              <w:jc w:val="center"/>
              <w:rPr>
                <w:rFonts w:ascii="Cambria" w:eastAsia="Arial" w:hAnsi="Cambria" w:cs="Arial"/>
                <w:sz w:val="24"/>
                <w:szCs w:val="24"/>
              </w:rPr>
            </w:pPr>
          </w:p>
        </w:tc>
        <w:tc>
          <w:tcPr>
            <w:tcW w:w="954" w:type="dxa"/>
            <w:tcBorders>
              <w:top w:val="single" w:sz="4" w:space="0" w:color="000000"/>
              <w:left w:val="nil"/>
              <w:bottom w:val="single" w:sz="4" w:space="0" w:color="000000"/>
              <w:right w:val="nil"/>
            </w:tcBorders>
          </w:tcPr>
          <w:p>
            <w:pPr>
              <w:tabs>
                <w:tab w:val="left" w:pos="5103"/>
              </w:tabs>
              <w:jc w:val="center"/>
              <w:rPr>
                <w:rFonts w:ascii="Cambria" w:eastAsia="Arial" w:hAnsi="Cambria" w:cs="Arial"/>
                <w:sz w:val="24"/>
                <w:szCs w:val="24"/>
              </w:rPr>
            </w:pPr>
          </w:p>
        </w:tc>
        <w:tc>
          <w:tcPr>
            <w:tcW w:w="1057" w:type="dxa"/>
            <w:tcBorders>
              <w:top w:val="single" w:sz="4" w:space="0" w:color="000000"/>
              <w:left w:val="nil"/>
              <w:bottom w:val="single" w:sz="4" w:space="0" w:color="000000"/>
              <w:right w:val="single" w:sz="4" w:space="0" w:color="000000"/>
            </w:tcBorders>
            <w:vAlign w:val="center"/>
          </w:tcPr>
          <w:p>
            <w:pPr>
              <w:tabs>
                <w:tab w:val="left" w:pos="5103"/>
              </w:tabs>
              <w:jc w:val="center"/>
              <w:rPr>
                <w:rFonts w:ascii="Cambria" w:eastAsia="Arial" w:hAnsi="Cambria" w:cs="Arial"/>
                <w:sz w:val="24"/>
                <w:szCs w:val="24"/>
              </w:rPr>
            </w:pPr>
          </w:p>
        </w:tc>
        <w:tc>
          <w:tcPr>
            <w:tcW w:w="1281" w:type="dxa"/>
            <w:tcBorders>
              <w:top w:val="single" w:sz="4" w:space="0" w:color="000000"/>
              <w:left w:val="single" w:sz="4" w:space="0" w:color="000000"/>
              <w:bottom w:val="single" w:sz="4" w:space="0" w:color="000000"/>
              <w:right w:val="single" w:sz="4" w:space="0" w:color="000000"/>
            </w:tcBorders>
            <w:vAlign w:val="center"/>
          </w:tcPr>
          <w:p>
            <w:pPr>
              <w:tabs>
                <w:tab w:val="left" w:pos="5103"/>
              </w:tabs>
              <w:jc w:val="center"/>
              <w:rPr>
                <w:rFonts w:ascii="Cambria" w:eastAsia="Arial" w:hAnsi="Cambria" w:cs="Arial"/>
                <w:sz w:val="24"/>
                <w:szCs w:val="24"/>
              </w:rPr>
            </w:pPr>
          </w:p>
        </w:tc>
        <w:tc>
          <w:tcPr>
            <w:tcW w:w="1417" w:type="dxa"/>
            <w:tcBorders>
              <w:top w:val="nil"/>
              <w:left w:val="nil"/>
              <w:bottom w:val="single" w:sz="4" w:space="0" w:color="000000"/>
              <w:right w:val="single" w:sz="4" w:space="0" w:color="000000"/>
            </w:tcBorders>
            <w:vAlign w:val="center"/>
          </w:tcPr>
          <w:p>
            <w:pPr>
              <w:tabs>
                <w:tab w:val="left" w:pos="5103"/>
              </w:tabs>
              <w:jc w:val="center"/>
              <w:rPr>
                <w:rFonts w:ascii="Cambria" w:eastAsia="Arial" w:hAnsi="Cambria" w:cs="Arial"/>
                <w:sz w:val="24"/>
                <w:szCs w:val="24"/>
              </w:rPr>
            </w:pPr>
          </w:p>
        </w:tc>
      </w:tr>
      <w:tr>
        <w:trPr>
          <w:cantSplit/>
        </w:trPr>
        <w:tc>
          <w:tcPr>
            <w:tcW w:w="548" w:type="dxa"/>
            <w:tcBorders>
              <w:top w:val="single" w:sz="4" w:space="0" w:color="000000"/>
              <w:left w:val="single" w:sz="4" w:space="0" w:color="000000"/>
              <w:bottom w:val="single" w:sz="4" w:space="0" w:color="000000"/>
              <w:right w:val="single" w:sz="4" w:space="0" w:color="000000"/>
            </w:tcBorders>
            <w:shd w:val="clear" w:color="auto" w:fill="000099"/>
          </w:tcPr>
          <w:p>
            <w:pPr>
              <w:tabs>
                <w:tab w:val="left" w:pos="5103"/>
              </w:tabs>
              <w:jc w:val="right"/>
              <w:rPr>
                <w:rFonts w:ascii="Cambria" w:eastAsia="Arial" w:hAnsi="Cambria" w:cs="Arial"/>
                <w:b/>
                <w:sz w:val="24"/>
                <w:szCs w:val="24"/>
              </w:rPr>
            </w:pPr>
          </w:p>
        </w:tc>
        <w:tc>
          <w:tcPr>
            <w:tcW w:w="8453" w:type="dxa"/>
            <w:gridSpan w:val="5"/>
            <w:tcBorders>
              <w:top w:val="single" w:sz="4" w:space="0" w:color="000000"/>
              <w:left w:val="single" w:sz="4" w:space="0" w:color="000000"/>
              <w:bottom w:val="single" w:sz="4" w:space="0" w:color="000000"/>
              <w:right w:val="single" w:sz="4" w:space="0" w:color="000000"/>
            </w:tcBorders>
            <w:shd w:val="clear" w:color="auto" w:fill="000099"/>
          </w:tcPr>
          <w:p>
            <w:pPr>
              <w:tabs>
                <w:tab w:val="left" w:pos="5103"/>
              </w:tabs>
              <w:jc w:val="right"/>
              <w:rPr>
                <w:rFonts w:ascii="Cambria" w:eastAsia="Arial" w:hAnsi="Cambria" w:cs="Arial"/>
                <w:b/>
                <w:sz w:val="24"/>
                <w:szCs w:val="24"/>
              </w:rPr>
            </w:pPr>
            <w:r>
              <w:rPr>
                <w:rFonts w:ascii="Cambria" w:eastAsia="Arial" w:hAnsi="Cambria" w:cs="Arial"/>
                <w:b/>
                <w:sz w:val="24"/>
                <w:szCs w:val="24"/>
              </w:rPr>
              <w:t xml:space="preserve">VALOR TOTAL </w:t>
            </w:r>
          </w:p>
        </w:tc>
        <w:tc>
          <w:tcPr>
            <w:tcW w:w="1417" w:type="dxa"/>
            <w:tcBorders>
              <w:top w:val="nil"/>
              <w:left w:val="nil"/>
              <w:bottom w:val="single" w:sz="4" w:space="0" w:color="000000"/>
              <w:right w:val="single" w:sz="4" w:space="0" w:color="000000"/>
            </w:tcBorders>
            <w:shd w:val="clear" w:color="auto" w:fill="000099"/>
            <w:vAlign w:val="bottom"/>
          </w:tcPr>
          <w:p>
            <w:pPr>
              <w:tabs>
                <w:tab w:val="left" w:pos="5103"/>
              </w:tabs>
              <w:jc w:val="right"/>
              <w:rPr>
                <w:rFonts w:ascii="Cambria" w:eastAsia="Arial" w:hAnsi="Cambria" w:cs="Arial"/>
                <w:b/>
                <w:sz w:val="24"/>
                <w:szCs w:val="24"/>
              </w:rPr>
            </w:pPr>
            <w:r>
              <w:rPr>
                <w:rFonts w:ascii="Cambria" w:eastAsia="Arial" w:hAnsi="Cambria" w:cs="Arial"/>
                <w:b/>
                <w:sz w:val="24"/>
                <w:szCs w:val="24"/>
              </w:rPr>
              <w:t>R$</w:t>
            </w:r>
          </w:p>
        </w:tc>
      </w:tr>
    </w:tbl>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sz w:val="24"/>
          <w:szCs w:val="24"/>
        </w:rPr>
      </w:pPr>
      <w:r>
        <w:rPr>
          <w:rFonts w:ascii="Cambria" w:eastAsia="Arial" w:hAnsi="Cambria" w:cs="Arial"/>
          <w:b/>
          <w:sz w:val="24"/>
          <w:szCs w:val="24"/>
        </w:rPr>
        <w:t xml:space="preserve">VALOR DO LOTE: </w:t>
      </w:r>
      <w:r>
        <w:rPr>
          <w:rFonts w:ascii="Cambria" w:eastAsia="Arial" w:hAnsi="Cambria" w:cs="Arial"/>
          <w:sz w:val="24"/>
          <w:szCs w:val="24"/>
        </w:rPr>
        <w:t>R$ .......................</w:t>
      </w:r>
    </w:p>
    <w:p>
      <w:pPr>
        <w:tabs>
          <w:tab w:val="left" w:pos="5103"/>
        </w:tabs>
        <w:rPr>
          <w:rFonts w:ascii="Cambria" w:eastAsia="Arial" w:hAnsi="Cambria" w:cs="Arial"/>
          <w:sz w:val="24"/>
          <w:szCs w:val="24"/>
        </w:rPr>
      </w:pPr>
      <w:r>
        <w:rPr>
          <w:rFonts w:ascii="Cambria" w:eastAsia="Arial" w:hAnsi="Cambria" w:cs="Arial"/>
          <w:b/>
          <w:sz w:val="24"/>
          <w:szCs w:val="24"/>
        </w:rPr>
        <w:t xml:space="preserve">VALIDADE DA PROPOSTA: </w:t>
      </w:r>
      <w:r>
        <w:rPr>
          <w:rFonts w:ascii="Cambria" w:eastAsia="Arial" w:hAnsi="Cambria" w:cs="Arial"/>
          <w:sz w:val="24"/>
          <w:szCs w:val="24"/>
        </w:rPr>
        <w:t>60 (sessenta) dias.</w:t>
      </w:r>
    </w:p>
    <w:p>
      <w:pPr>
        <w:tabs>
          <w:tab w:val="left" w:pos="5103"/>
        </w:tabs>
        <w:jc w:val="both"/>
        <w:rPr>
          <w:rFonts w:ascii="Cambria" w:eastAsia="Arial" w:hAnsi="Cambria" w:cs="Arial"/>
          <w:sz w:val="24"/>
          <w:szCs w:val="24"/>
        </w:rPr>
      </w:pPr>
    </w:p>
    <w:p>
      <w:pPr>
        <w:tabs>
          <w:tab w:val="left" w:pos="3726"/>
          <w:tab w:val="left" w:pos="5103"/>
        </w:tabs>
        <w:rPr>
          <w:rFonts w:ascii="Cambria" w:eastAsia="Arial" w:hAnsi="Cambria" w:cs="Arial"/>
          <w:b/>
          <w:sz w:val="24"/>
          <w:szCs w:val="24"/>
        </w:rPr>
      </w:pPr>
      <w:r>
        <w:rPr>
          <w:rFonts w:ascii="Cambria" w:eastAsia="Arial" w:hAnsi="Cambria" w:cs="Arial"/>
          <w:b/>
          <w:sz w:val="24"/>
          <w:szCs w:val="24"/>
        </w:rPr>
        <w:t>Observações:</w:t>
      </w:r>
    </w:p>
    <w:p>
      <w:pPr>
        <w:numPr>
          <w:ilvl w:val="0"/>
          <w:numId w:val="23"/>
        </w:numPr>
        <w:pBdr>
          <w:top w:val="nil"/>
          <w:left w:val="nil"/>
          <w:bottom w:val="nil"/>
          <w:right w:val="nil"/>
          <w:between w:val="nil"/>
        </w:pBdr>
        <w:tabs>
          <w:tab w:val="center" w:pos="4419"/>
          <w:tab w:val="left" w:pos="5103"/>
          <w:tab w:val="right" w:pos="8838"/>
        </w:tabs>
        <w:jc w:val="both"/>
        <w:rPr>
          <w:rFonts w:ascii="Cambria" w:eastAsia="Arial" w:hAnsi="Cambria" w:cs="Arial"/>
          <w:color w:val="000000"/>
          <w:sz w:val="24"/>
          <w:szCs w:val="24"/>
        </w:rPr>
      </w:pPr>
      <w:r>
        <w:rPr>
          <w:rFonts w:ascii="Cambria" w:eastAsia="Arial" w:hAnsi="Cambria" w:cs="Arial"/>
          <w:color w:val="000000"/>
          <w:sz w:val="24"/>
          <w:szCs w:val="24"/>
        </w:rPr>
        <w:t>O proponente declara que tem o pleno conhecimento, aceitação e cumprirá todas as obrigações contidas no anexo 01 –Termo de Referência deste edital.</w:t>
      </w:r>
    </w:p>
    <w:p>
      <w:pPr>
        <w:numPr>
          <w:ilvl w:val="0"/>
          <w:numId w:val="23"/>
        </w:numPr>
        <w:pBdr>
          <w:top w:val="nil"/>
          <w:left w:val="nil"/>
          <w:bottom w:val="nil"/>
          <w:right w:val="nil"/>
          <w:between w:val="nil"/>
        </w:pBdr>
        <w:tabs>
          <w:tab w:val="center" w:pos="4419"/>
          <w:tab w:val="left" w:pos="5103"/>
          <w:tab w:val="right" w:pos="8838"/>
        </w:tabs>
        <w:jc w:val="both"/>
        <w:rPr>
          <w:rFonts w:ascii="Cambria" w:eastAsia="Arial" w:hAnsi="Cambria" w:cs="Arial"/>
          <w:color w:val="000000"/>
          <w:sz w:val="24"/>
          <w:szCs w:val="24"/>
        </w:rPr>
      </w:pPr>
      <w:r>
        <w:rPr>
          <w:rFonts w:ascii="Cambria" w:eastAsia="Arial" w:hAnsi="Cambria" w:cs="Arial"/>
          <w:color w:val="000000"/>
          <w:sz w:val="24"/>
          <w:szCs w:val="24"/>
        </w:rPr>
        <w:t>Independente de declaração expressa, fica subentendida que no valor proposto estão incluídas todas as despesas necessárias ao fornecimento, inclusive as relacionadas com:</w:t>
      </w:r>
    </w:p>
    <w:p>
      <w:pPr>
        <w:tabs>
          <w:tab w:val="left" w:pos="5103"/>
        </w:tabs>
        <w:ind w:left="284"/>
        <w:jc w:val="both"/>
        <w:rPr>
          <w:rFonts w:ascii="Cambria" w:eastAsia="Arial" w:hAnsi="Cambria" w:cs="Arial"/>
          <w:sz w:val="24"/>
          <w:szCs w:val="24"/>
        </w:rPr>
      </w:pPr>
      <w:r>
        <w:rPr>
          <w:rFonts w:ascii="Cambria" w:eastAsia="Arial" w:hAnsi="Cambria" w:cs="Arial"/>
          <w:sz w:val="24"/>
          <w:szCs w:val="24"/>
        </w:rPr>
        <w:t>- Encargos sociais, trabalhistas, previdenciários e outros;</w:t>
      </w:r>
    </w:p>
    <w:p>
      <w:pPr>
        <w:tabs>
          <w:tab w:val="left" w:pos="5103"/>
        </w:tabs>
        <w:ind w:left="284"/>
        <w:jc w:val="both"/>
        <w:rPr>
          <w:rFonts w:ascii="Cambria" w:eastAsia="Arial" w:hAnsi="Cambria" w:cs="Arial"/>
          <w:sz w:val="24"/>
          <w:szCs w:val="24"/>
        </w:rPr>
      </w:pPr>
      <w:r>
        <w:rPr>
          <w:rFonts w:ascii="Cambria" w:eastAsia="Arial" w:hAnsi="Cambria" w:cs="Arial"/>
          <w:sz w:val="24"/>
          <w:szCs w:val="24"/>
        </w:rPr>
        <w:t>- Tributos, taxas e tarifas, emolumentos, licenças, alvarás, multas e/ou qualquer infrações;</w:t>
      </w:r>
    </w:p>
    <w:p>
      <w:pPr>
        <w:tabs>
          <w:tab w:val="left" w:pos="5103"/>
        </w:tabs>
        <w:ind w:left="284"/>
        <w:jc w:val="both"/>
        <w:rPr>
          <w:rFonts w:ascii="Cambria" w:eastAsia="Arial" w:hAnsi="Cambria" w:cs="Arial"/>
          <w:sz w:val="24"/>
          <w:szCs w:val="24"/>
        </w:rPr>
      </w:pPr>
      <w:r>
        <w:rPr>
          <w:rFonts w:ascii="Cambria" w:eastAsia="Arial" w:hAnsi="Cambria" w:cs="Arial"/>
          <w:sz w:val="24"/>
          <w:szCs w:val="24"/>
        </w:rPr>
        <w:t>- Seguros em geral, da infortunística e de responsabilidade civil para quaisquer danos e prejuízos causados à Contratante e/ou a terceiros, gerados direta ou indiretamente pelo fornecimento.</w:t>
      </w:r>
    </w:p>
    <w:p>
      <w:pPr>
        <w:tabs>
          <w:tab w:val="left" w:pos="5103"/>
        </w:tabs>
        <w:jc w:val="center"/>
        <w:rPr>
          <w:rFonts w:ascii="Cambria" w:eastAsia="Arial" w:hAnsi="Cambria" w:cs="Arial"/>
          <w:b/>
          <w:sz w:val="24"/>
          <w:szCs w:val="24"/>
        </w:rPr>
      </w:pPr>
    </w:p>
    <w:p>
      <w:pPr>
        <w:tabs>
          <w:tab w:val="left" w:pos="5103"/>
        </w:tabs>
        <w:jc w:val="center"/>
        <w:rPr>
          <w:rFonts w:ascii="Cambria" w:eastAsia="Arial" w:hAnsi="Cambria" w:cs="Arial"/>
          <w:b/>
          <w:sz w:val="24"/>
          <w:szCs w:val="24"/>
        </w:rPr>
      </w:pPr>
      <w:r>
        <w:rPr>
          <w:rFonts w:ascii="Cambria" w:eastAsia="Arial" w:hAnsi="Cambria" w:cs="Arial"/>
          <w:b/>
          <w:sz w:val="24"/>
          <w:szCs w:val="24"/>
        </w:rPr>
        <w:t>Local/Data: ...................., ........... de ............................ de ......................</w:t>
      </w:r>
    </w:p>
    <w:p>
      <w:pPr>
        <w:tabs>
          <w:tab w:val="left" w:pos="1427"/>
          <w:tab w:val="left" w:pos="5103"/>
        </w:tabs>
        <w:rPr>
          <w:rFonts w:ascii="Cambria" w:eastAsia="Arial" w:hAnsi="Cambria" w:cs="Arial"/>
          <w:sz w:val="24"/>
          <w:szCs w:val="24"/>
        </w:rPr>
      </w:pPr>
      <w:r>
        <w:rPr>
          <w:rFonts w:ascii="Cambria" w:eastAsia="Arial" w:hAnsi="Cambria" w:cs="Arial"/>
          <w:b/>
          <w:sz w:val="24"/>
          <w:szCs w:val="24"/>
        </w:rPr>
        <w:tab/>
      </w:r>
      <w:r>
        <w:rPr>
          <w:rFonts w:ascii="Cambria" w:eastAsia="Arial" w:hAnsi="Cambria" w:cs="Arial"/>
          <w:sz w:val="24"/>
          <w:szCs w:val="24"/>
        </w:rPr>
        <w:tab/>
      </w:r>
      <w:r>
        <w:rPr>
          <w:rFonts w:ascii="Cambria" w:eastAsia="Arial" w:hAnsi="Cambria" w:cs="Arial"/>
          <w:sz w:val="24"/>
          <w:szCs w:val="24"/>
        </w:rPr>
        <w:tab/>
      </w:r>
    </w:p>
    <w:p>
      <w:pPr>
        <w:tabs>
          <w:tab w:val="left" w:pos="1427"/>
          <w:tab w:val="left" w:pos="5103"/>
        </w:tabs>
        <w:rPr>
          <w:rFonts w:ascii="Cambria" w:eastAsia="Arial" w:hAnsi="Cambria" w:cs="Arial"/>
          <w:sz w:val="24"/>
          <w:szCs w:val="24"/>
        </w:rPr>
      </w:pPr>
    </w:p>
    <w:p>
      <w:pPr>
        <w:tabs>
          <w:tab w:val="left" w:pos="1427"/>
          <w:tab w:val="left" w:pos="5103"/>
        </w:tabs>
        <w:rPr>
          <w:rFonts w:ascii="Cambria" w:eastAsia="Arial" w:hAnsi="Cambria" w:cs="Arial"/>
          <w:sz w:val="24"/>
          <w:szCs w:val="24"/>
        </w:rPr>
      </w:pPr>
    </w:p>
    <w:p>
      <w:pPr>
        <w:pBdr>
          <w:top w:val="nil"/>
          <w:left w:val="nil"/>
          <w:bottom w:val="nil"/>
          <w:right w:val="nil"/>
          <w:between w:val="nil"/>
        </w:pBdr>
        <w:tabs>
          <w:tab w:val="center" w:pos="4419"/>
          <w:tab w:val="left" w:pos="5103"/>
          <w:tab w:val="right" w:pos="8838"/>
          <w:tab w:val="left" w:pos="708"/>
        </w:tabs>
        <w:jc w:val="center"/>
        <w:rPr>
          <w:rFonts w:ascii="Cambria" w:eastAsia="Arial" w:hAnsi="Cambria" w:cs="Arial"/>
          <w:b/>
          <w:color w:val="000000"/>
          <w:sz w:val="24"/>
          <w:szCs w:val="24"/>
        </w:rPr>
      </w:pPr>
      <w:r>
        <w:rPr>
          <w:rFonts w:ascii="Cambria" w:eastAsia="Arial" w:hAnsi="Cambria" w:cs="Arial"/>
          <w:b/>
          <w:color w:val="000000"/>
          <w:sz w:val="24"/>
          <w:szCs w:val="24"/>
        </w:rPr>
        <w:t>Assinatura Proponente</w:t>
      </w:r>
    </w:p>
    <w:p>
      <w:pPr>
        <w:pBdr>
          <w:top w:val="nil"/>
          <w:left w:val="nil"/>
          <w:bottom w:val="nil"/>
          <w:right w:val="nil"/>
          <w:between w:val="nil"/>
        </w:pBdr>
        <w:tabs>
          <w:tab w:val="center" w:pos="4419"/>
          <w:tab w:val="left" w:pos="5103"/>
          <w:tab w:val="right" w:pos="8838"/>
          <w:tab w:val="left" w:pos="708"/>
        </w:tabs>
        <w:jc w:val="center"/>
        <w:rPr>
          <w:rFonts w:ascii="Cambria" w:eastAsia="Arial" w:hAnsi="Cambria" w:cs="Arial"/>
          <w:b/>
          <w:color w:val="000000"/>
          <w:sz w:val="24"/>
          <w:szCs w:val="24"/>
        </w:rPr>
      </w:pPr>
      <w:r>
        <w:rPr>
          <w:rFonts w:ascii="Cambria" w:eastAsia="Arial" w:hAnsi="Cambria" w:cs="Arial"/>
          <w:b/>
          <w:color w:val="000000"/>
          <w:sz w:val="24"/>
          <w:szCs w:val="24"/>
        </w:rPr>
        <w:t>Carimbo da empresa/Assinatura do responsável legal</w:t>
      </w:r>
    </w:p>
    <w:p>
      <w:pPr>
        <w:tabs>
          <w:tab w:val="left" w:pos="5103"/>
        </w:tabs>
        <w:spacing w:after="200" w:line="276" w:lineRule="auto"/>
        <w:rPr>
          <w:rFonts w:ascii="Cambria" w:eastAsia="Arial" w:hAnsi="Cambria" w:cs="Arial"/>
          <w:b/>
          <w:sz w:val="24"/>
          <w:szCs w:val="24"/>
        </w:rPr>
      </w:pPr>
    </w:p>
    <w:p>
      <w:pPr>
        <w:tabs>
          <w:tab w:val="left" w:pos="5103"/>
        </w:tabs>
        <w:spacing w:after="200" w:line="276" w:lineRule="auto"/>
        <w:rPr>
          <w:rFonts w:ascii="Cambria" w:eastAsia="Arial" w:hAnsi="Cambria" w:cs="Arial"/>
          <w:b/>
          <w:sz w:val="24"/>
          <w:szCs w:val="24"/>
        </w:rPr>
      </w:pPr>
      <w:r>
        <w:rPr>
          <w:rFonts w:ascii="Cambria" w:hAnsi="Cambria"/>
          <w:sz w:val="24"/>
          <w:szCs w:val="24"/>
        </w:rPr>
        <w:br w:type="page"/>
      </w:r>
    </w:p>
    <w:p>
      <w:pPr>
        <w:pStyle w:val="Ttulo1"/>
        <w:shd w:val="clear" w:color="auto" w:fill="000099"/>
        <w:tabs>
          <w:tab w:val="left" w:pos="5103"/>
        </w:tabs>
        <w:jc w:val="center"/>
        <w:rPr>
          <w:rFonts w:ascii="Cambria" w:hAnsi="Cambria"/>
          <w:b/>
          <w:bCs/>
          <w:color w:val="auto"/>
          <w:sz w:val="24"/>
          <w:szCs w:val="24"/>
        </w:rPr>
      </w:pPr>
      <w:bookmarkStart w:id="68" w:name="_heading=h.2u6wntf" w:colFirst="0" w:colLast="0"/>
      <w:bookmarkEnd w:id="68"/>
      <w:r>
        <w:rPr>
          <w:rFonts w:ascii="Cambria" w:hAnsi="Cambria"/>
          <w:b/>
          <w:bCs/>
          <w:color w:val="auto"/>
          <w:sz w:val="24"/>
          <w:szCs w:val="24"/>
        </w:rPr>
        <w:lastRenderedPageBreak/>
        <w:t>ANEXO III - MINUTA DO CONTRATO</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CONTRATO Nº _____________</w:t>
      </w:r>
    </w:p>
    <w:p>
      <w:pPr>
        <w:tabs>
          <w:tab w:val="left" w:pos="5103"/>
        </w:tabs>
        <w:rPr>
          <w:rFonts w:ascii="Cambria" w:eastAsia="Arial" w:hAnsi="Cambria" w:cs="Arial"/>
          <w:b/>
          <w:sz w:val="24"/>
          <w:szCs w:val="24"/>
        </w:rPr>
      </w:pPr>
      <w:r>
        <w:rPr>
          <w:rFonts w:ascii="Cambria" w:eastAsia="Arial" w:hAnsi="Cambria" w:cs="Arial"/>
          <w:b/>
          <w:sz w:val="24"/>
          <w:szCs w:val="24"/>
        </w:rPr>
        <w:t>PREGÃO ELETRÔNICO Nº _________________</w:t>
      </w:r>
    </w:p>
    <w:p>
      <w:pPr>
        <w:tabs>
          <w:tab w:val="left" w:pos="5103"/>
        </w:tabs>
        <w:ind w:left="5103"/>
        <w:jc w:val="both"/>
        <w:rPr>
          <w:rFonts w:ascii="Cambria" w:eastAsia="Arial" w:hAnsi="Cambria" w:cs="Arial"/>
          <w:sz w:val="24"/>
          <w:szCs w:val="24"/>
        </w:rPr>
      </w:pPr>
      <w:r>
        <w:rPr>
          <w:rFonts w:ascii="Cambria" w:eastAsia="Arial" w:hAnsi="Cambria" w:cs="Arial"/>
          <w:sz w:val="24"/>
          <w:szCs w:val="24"/>
        </w:rPr>
        <w:t xml:space="preserve">CONTRATO QUE ENTRE SI CELEBRAM, DE UM LADO A PREFEITURA MUNICIPAL DE MIRAÍMA/CE, E DO OUTRO A EMPRESA </w:t>
      </w:r>
      <w:r>
        <w:rPr>
          <w:rFonts w:ascii="Cambria" w:eastAsia="Arial" w:hAnsi="Cambria" w:cs="Arial"/>
          <w:b/>
          <w:sz w:val="24"/>
          <w:szCs w:val="24"/>
        </w:rPr>
        <w:t xml:space="preserve">______________ </w:t>
      </w:r>
      <w:r>
        <w:rPr>
          <w:rFonts w:ascii="Cambria" w:eastAsia="Arial" w:hAnsi="Cambria" w:cs="Arial"/>
          <w:sz w:val="24"/>
          <w:szCs w:val="24"/>
        </w:rPr>
        <w:t>PARA O FIM QUE NELE SE DECLARA.</w:t>
      </w:r>
    </w:p>
    <w:p>
      <w:pPr>
        <w:tabs>
          <w:tab w:val="left" w:pos="5103"/>
          <w:tab w:val="left" w:pos="8100"/>
        </w:tabs>
        <w:jc w:val="both"/>
        <w:rPr>
          <w:rFonts w:ascii="Cambria" w:eastAsia="Arial" w:hAnsi="Cambria" w:cs="Arial"/>
          <w:sz w:val="24"/>
          <w:szCs w:val="24"/>
        </w:rPr>
      </w:pPr>
    </w:p>
    <w:p>
      <w:pPr>
        <w:tabs>
          <w:tab w:val="left" w:pos="5103"/>
          <w:tab w:val="left" w:pos="8100"/>
        </w:tabs>
        <w:jc w:val="both"/>
        <w:rPr>
          <w:rFonts w:ascii="Cambria" w:eastAsia="Arial" w:hAnsi="Cambria" w:cs="Arial"/>
          <w:b/>
          <w:sz w:val="24"/>
          <w:szCs w:val="24"/>
        </w:rPr>
      </w:pPr>
      <w:r>
        <w:rPr>
          <w:rFonts w:ascii="Cambria" w:eastAsia="Arial" w:hAnsi="Cambria" w:cs="Arial"/>
          <w:sz w:val="24"/>
          <w:szCs w:val="24"/>
        </w:rPr>
        <w:t xml:space="preserve">O município de MIRAÍMA/CE, por meio da </w:t>
      </w:r>
      <w:r>
        <w:rPr>
          <w:rFonts w:ascii="Cambria" w:eastAsia="Arial" w:hAnsi="Cambria" w:cs="Arial"/>
          <w:b/>
          <w:sz w:val="24"/>
          <w:szCs w:val="24"/>
        </w:rPr>
        <w:t xml:space="preserve">PREFEITURA MUNICIPAL DE MIRAÍMA, </w:t>
      </w:r>
      <w:r>
        <w:rPr>
          <w:rFonts w:ascii="Cambria" w:eastAsia="Arial" w:hAnsi="Cambria" w:cs="Arial"/>
          <w:sz w:val="24"/>
          <w:szCs w:val="24"/>
        </w:rPr>
        <w:t xml:space="preserve">Estado do Ceará, pessoa jurídica de direito público interno, inscrita no CNPJ sob o N.º 10.517.563/0001-05, com sede de sua Prefeitura Municipal na Esplanada da Estação, 433 – Centro – Miraíma – CE, através da </w:t>
      </w:r>
      <w:r>
        <w:rPr>
          <w:rFonts w:ascii="Cambria" w:eastAsia="Arial" w:hAnsi="Cambria" w:cs="Arial"/>
          <w:b/>
          <w:smallCaps/>
          <w:sz w:val="24"/>
          <w:szCs w:val="24"/>
        </w:rPr>
        <w:t>SECRETARIA DE INFRAESTRUTURA E SERVIÇOS PÚBLICOS</w:t>
      </w:r>
      <w:r>
        <w:rPr>
          <w:rFonts w:ascii="Cambria" w:eastAsia="Arial" w:hAnsi="Cambria" w:cs="Arial"/>
          <w:sz w:val="24"/>
          <w:szCs w:val="24"/>
        </w:rPr>
        <w:t xml:space="preserve">, neste ato representado(a) pelo(a) Sr. </w:t>
      </w:r>
      <w:r>
        <w:rPr>
          <w:rFonts w:ascii="Cambria" w:eastAsia="Arial" w:hAnsi="Cambria" w:cs="Arial"/>
          <w:b/>
          <w:smallCaps/>
          <w:sz w:val="24"/>
          <w:szCs w:val="24"/>
        </w:rPr>
        <w:t>CIPRIANO GOMES RAMOS</w:t>
      </w:r>
      <w:r>
        <w:rPr>
          <w:rFonts w:ascii="Cambria" w:eastAsia="Arial" w:hAnsi="Cambria" w:cs="Arial"/>
          <w:sz w:val="24"/>
          <w:szCs w:val="24"/>
        </w:rPr>
        <w:t xml:space="preserve">, aqui denominado(a) de </w:t>
      </w:r>
      <w:r>
        <w:rPr>
          <w:rFonts w:ascii="Cambria" w:eastAsia="Arial" w:hAnsi="Cambria" w:cs="Arial"/>
          <w:b/>
          <w:sz w:val="24"/>
          <w:szCs w:val="24"/>
        </w:rPr>
        <w:t>CONTRATANTE</w:t>
      </w:r>
      <w:r>
        <w:rPr>
          <w:rFonts w:ascii="Cambria" w:eastAsia="Arial" w:hAnsi="Cambria" w:cs="Arial"/>
          <w:sz w:val="24"/>
          <w:szCs w:val="24"/>
        </w:rPr>
        <w:t xml:space="preserve">, e de outro lado a Empresa ______________________, estabelecida na _________________, inscrita no CNPJ/MF sob o n.º _________________________, neste ato representada pelo (a) Sr(a). ______________________, portador (a) do CPF nº _____________, apenas denominada de </w:t>
      </w:r>
      <w:r>
        <w:rPr>
          <w:rFonts w:ascii="Cambria" w:eastAsia="Arial" w:hAnsi="Cambria" w:cs="Arial"/>
          <w:b/>
          <w:sz w:val="24"/>
          <w:szCs w:val="24"/>
        </w:rPr>
        <w:t>CONTRATADA</w:t>
      </w:r>
      <w:r>
        <w:rPr>
          <w:rFonts w:ascii="Cambria" w:eastAsia="Arial" w:hAnsi="Cambria" w:cs="Arial"/>
          <w:sz w:val="24"/>
          <w:szCs w:val="24"/>
        </w:rPr>
        <w:t>, firmam entre si o presente TERMO DE CONTRATO mediante as cláusulas e condições a seguir estabelecidas:</w:t>
      </w:r>
    </w:p>
    <w:p>
      <w:pPr>
        <w:tabs>
          <w:tab w:val="left" w:pos="5103"/>
        </w:tabs>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PRIMEIRA - DO FUNDAMENTO LEGAL</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1.1.</w:t>
      </w:r>
      <w:r>
        <w:rPr>
          <w:rFonts w:ascii="Cambria" w:eastAsia="Arial" w:hAnsi="Cambria" w:cs="Arial"/>
          <w:sz w:val="24"/>
          <w:szCs w:val="24"/>
        </w:rPr>
        <w:t xml:space="preserve"> Processo de Licitação, na modalidade Pregão Eletrônico tombado sob o nº </w:t>
      </w:r>
      <w:r>
        <w:rPr>
          <w:rFonts w:ascii="Cambria" w:eastAsia="Arial" w:hAnsi="Cambria" w:cs="Arial"/>
          <w:b/>
          <w:sz w:val="24"/>
          <w:szCs w:val="24"/>
        </w:rPr>
        <w:t xml:space="preserve">________ </w:t>
      </w:r>
      <w:r>
        <w:rPr>
          <w:rFonts w:ascii="Cambria" w:eastAsia="Arial" w:hAnsi="Cambria" w:cs="Arial"/>
          <w:sz w:val="24"/>
          <w:szCs w:val="24"/>
        </w:rPr>
        <w:t>em conformidade com a Lei Federal Nº 14.133/2021 de 1º de abril de 2021 - Lei das Licitações Públicas.</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SEGUNDA - DO OBJETO</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shd w:val="clear" w:color="auto" w:fill="FFFFFF"/>
        <w:tabs>
          <w:tab w:val="left" w:pos="284"/>
          <w:tab w:val="left" w:pos="5103"/>
        </w:tabs>
        <w:spacing w:after="200"/>
        <w:rPr>
          <w:rFonts w:ascii="Cambria" w:eastAsia="Arial" w:hAnsi="Cambria" w:cs="Arial"/>
          <w:b/>
          <w:sz w:val="24"/>
          <w:szCs w:val="24"/>
        </w:rPr>
      </w:pPr>
      <w:r>
        <w:rPr>
          <w:rFonts w:ascii="Cambria" w:eastAsia="Arial" w:hAnsi="Cambria" w:cs="Arial"/>
          <w:b/>
          <w:sz w:val="24"/>
          <w:szCs w:val="24"/>
        </w:rPr>
        <w:t>2.1.</w:t>
      </w:r>
      <w:r>
        <w:rPr>
          <w:rFonts w:ascii="Cambria" w:eastAsia="Arial" w:hAnsi="Cambria" w:cs="Arial"/>
          <w:sz w:val="24"/>
          <w:szCs w:val="24"/>
        </w:rPr>
        <w:t xml:space="preserve"> Constitui objeto do presente o </w:t>
      </w:r>
      <w:r>
        <w:rPr>
          <w:rFonts w:ascii="Cambria" w:eastAsia="Arial" w:hAnsi="Cambria" w:cs="Arial"/>
          <w:b/>
          <w:bCs/>
          <w:sz w:val="24"/>
          <w:szCs w:val="24"/>
        </w:rPr>
        <w:t>AQUISIÇÃO DE EQUIPAMENTOS PARA ACADEMIA AO AR LIVRE, DE INTERESSE DA SECRETARIA DE INFRAESTRUTURA E SERVIÇOS PÚBLICOS DE MIRAÍMA/CE</w:t>
      </w:r>
      <w:r>
        <w:rPr>
          <w:rFonts w:ascii="Cambria" w:eastAsia="Arial" w:hAnsi="Cambria" w:cs="Arial"/>
          <w:sz w:val="24"/>
          <w:szCs w:val="24"/>
        </w:rPr>
        <w:t>, tudo conforme especificações contidas no Projeto Básico/Termo de Referência, constante do ANEXO 01 do Edital.</w:t>
      </w:r>
    </w:p>
    <w:p>
      <w:pPr>
        <w:tabs>
          <w:tab w:val="left" w:pos="5103"/>
        </w:tabs>
        <w:ind w:right="-5"/>
        <w:jc w:val="both"/>
        <w:rPr>
          <w:rFonts w:ascii="Cambria" w:eastAsia="Arial" w:hAnsi="Cambria" w:cs="Arial"/>
          <w:b/>
          <w:sz w:val="24"/>
          <w:szCs w:val="24"/>
        </w:rPr>
      </w:pPr>
      <w:r>
        <w:rPr>
          <w:rFonts w:ascii="Cambria" w:eastAsia="Arial" w:hAnsi="Cambria" w:cs="Arial"/>
          <w:b/>
          <w:sz w:val="24"/>
          <w:szCs w:val="24"/>
        </w:rPr>
        <w:t>CLÁUSULA TERCEIRA - DO VALOR, DO REAJUSTE E DO REEQUILÍBRIO ECONÔMICO-FINANCEIRO</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3.1.</w:t>
      </w:r>
      <w:r>
        <w:rPr>
          <w:rFonts w:ascii="Cambria" w:eastAsia="Arial" w:hAnsi="Cambria" w:cs="Arial"/>
          <w:sz w:val="24"/>
          <w:szCs w:val="24"/>
        </w:rPr>
        <w:t xml:space="preserve"> O valor global da presente avença é de R$ _______________________, a ser pago na proporção da entrega dos produtos licitados, segundo as ordens de compras/autorizações de fornecimento expedidas pela Administração, de conformidade com as notas fiscais/faturas devidamente atestadas pelo Gestor da despesa, acompanhadas das Certidões Federal, Estadual, Municipal, FGTS e CNDT do proponente vencedor, todas atualizadas, observadas as condições da proposta.</w:t>
      </w:r>
    </w:p>
    <w:p>
      <w:pPr>
        <w:tabs>
          <w:tab w:val="left" w:pos="5103"/>
        </w:tabs>
        <w:jc w:val="both"/>
        <w:rPr>
          <w:rFonts w:ascii="Cambria" w:eastAsia="Arial" w:hAnsi="Cambria" w:cs="Arial"/>
          <w:sz w:val="24"/>
          <w:szCs w:val="24"/>
        </w:rPr>
      </w:pPr>
      <w:r>
        <w:rPr>
          <w:rFonts w:ascii="Cambria" w:eastAsia="Arial" w:hAnsi="Cambria" w:cs="Arial"/>
          <w:b/>
          <w:sz w:val="24"/>
          <w:szCs w:val="24"/>
        </w:rPr>
        <w:t>3.2.</w:t>
      </w:r>
      <w:r>
        <w:rPr>
          <w:rFonts w:ascii="Cambria" w:eastAsia="Arial" w:hAnsi="Cambria" w:cs="Arial"/>
          <w:sz w:val="24"/>
          <w:szCs w:val="24"/>
        </w:rPr>
        <w:t xml:space="preserve"> O valor do presente Contrato não será objeto de reajuste, antes de decorridos 12 (doze) meses da contratação, hipótese na qual poderá ser utilizado o índice IGP-M da Fundação Getúlio Vargas.</w:t>
      </w:r>
    </w:p>
    <w:p>
      <w:pPr>
        <w:tabs>
          <w:tab w:val="left" w:pos="5103"/>
        </w:tabs>
        <w:jc w:val="both"/>
        <w:rPr>
          <w:rFonts w:ascii="Cambria" w:eastAsia="Arial" w:hAnsi="Cambria" w:cs="Arial"/>
          <w:sz w:val="24"/>
          <w:szCs w:val="24"/>
        </w:rPr>
      </w:pPr>
      <w:r>
        <w:rPr>
          <w:rFonts w:ascii="Cambria" w:eastAsia="Arial" w:hAnsi="Cambria" w:cs="Arial"/>
          <w:b/>
          <w:sz w:val="24"/>
          <w:szCs w:val="24"/>
        </w:rPr>
        <w:lastRenderedPageBreak/>
        <w:t>3.3.</w:t>
      </w:r>
      <w:r>
        <w:rPr>
          <w:rFonts w:ascii="Cambria" w:eastAsia="Arial" w:hAnsi="Cambria" w:cs="Arial"/>
          <w:sz w:val="24"/>
          <w:szCs w:val="24"/>
        </w:rPr>
        <w:t xml:space="preserve"> O pagamento será efetuado em até 30 (trinta) dias, após adimplemento da obrigação e encaminhamento da documentação tratada no subitem 3.1, observadas as disposições editalícias, através de crédito na Conta Bancária do fornecedor ou através de cheque nominal.</w:t>
      </w:r>
    </w:p>
    <w:p>
      <w:pPr>
        <w:tabs>
          <w:tab w:val="left" w:pos="5103"/>
        </w:tabs>
        <w:jc w:val="both"/>
        <w:rPr>
          <w:rFonts w:ascii="Cambria" w:eastAsia="Arial" w:hAnsi="Cambria" w:cs="Arial"/>
          <w:sz w:val="24"/>
          <w:szCs w:val="24"/>
        </w:rPr>
      </w:pPr>
      <w:r>
        <w:rPr>
          <w:rFonts w:ascii="Cambria" w:eastAsia="Arial" w:hAnsi="Cambria" w:cs="Arial"/>
          <w:b/>
          <w:sz w:val="24"/>
          <w:szCs w:val="24"/>
        </w:rPr>
        <w:t>3.4.</w:t>
      </w:r>
      <w:r>
        <w:rPr>
          <w:rFonts w:ascii="Cambria" w:eastAsia="Arial" w:hAnsi="Cambria" w:cs="Arial"/>
          <w:sz w:val="24"/>
          <w:szCs w:val="24"/>
        </w:rPr>
        <w:t xml:space="preserve"> Por ocasião da entrega dos produtos, o contratado deverá apresentar recibo em 02 (duas) vias e a respectiva Nota Fiscal. A Fatura e Nota Fiscal deverá ser emitida em nome da Secretaria de Infraestrutura e Serviços Públicos, com endereço na _______________________________.</w:t>
      </w:r>
    </w:p>
    <w:p>
      <w:pPr>
        <w:tabs>
          <w:tab w:val="left" w:pos="5103"/>
        </w:tabs>
        <w:jc w:val="both"/>
        <w:rPr>
          <w:rFonts w:ascii="Cambria" w:eastAsia="Arial" w:hAnsi="Cambria" w:cs="Arial"/>
          <w:sz w:val="24"/>
          <w:szCs w:val="24"/>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0"/>
        <w:gridCol w:w="4764"/>
        <w:gridCol w:w="719"/>
        <w:gridCol w:w="943"/>
        <w:gridCol w:w="1354"/>
        <w:gridCol w:w="1418"/>
      </w:tblGrid>
      <w:tr>
        <w:trPr>
          <w:trHeight w:val="279"/>
        </w:trPr>
        <w:tc>
          <w:tcPr>
            <w:tcW w:w="720" w:type="dxa"/>
            <w:vMerge w:val="restart"/>
            <w:shd w:val="clear" w:color="auto" w:fill="000099"/>
            <w:noWrap/>
            <w:vAlign w:val="center"/>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ITEM</w:t>
            </w:r>
          </w:p>
        </w:tc>
        <w:tc>
          <w:tcPr>
            <w:tcW w:w="4764" w:type="dxa"/>
            <w:vMerge w:val="restart"/>
            <w:shd w:val="clear" w:color="auto" w:fill="000099"/>
            <w:vAlign w:val="center"/>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DESCRIÇÃO</w:t>
            </w:r>
          </w:p>
        </w:tc>
        <w:tc>
          <w:tcPr>
            <w:tcW w:w="719" w:type="dxa"/>
            <w:vMerge w:val="restart"/>
            <w:shd w:val="clear" w:color="auto" w:fill="000099"/>
            <w:noWrap/>
            <w:vAlign w:val="center"/>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UNID</w:t>
            </w:r>
          </w:p>
        </w:tc>
        <w:tc>
          <w:tcPr>
            <w:tcW w:w="943" w:type="dxa"/>
            <w:vMerge w:val="restart"/>
            <w:shd w:val="clear" w:color="auto" w:fill="000099"/>
            <w:noWrap/>
            <w:vAlign w:val="center"/>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QUANT</w:t>
            </w:r>
          </w:p>
        </w:tc>
        <w:tc>
          <w:tcPr>
            <w:tcW w:w="2772" w:type="dxa"/>
            <w:gridSpan w:val="2"/>
            <w:shd w:val="clear" w:color="auto" w:fill="000099"/>
            <w:noWrap/>
            <w:vAlign w:val="center"/>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VALORES MÉDIO</w:t>
            </w:r>
          </w:p>
        </w:tc>
      </w:tr>
      <w:tr>
        <w:trPr>
          <w:trHeight w:val="279"/>
        </w:trPr>
        <w:tc>
          <w:tcPr>
            <w:tcW w:w="720" w:type="dxa"/>
            <w:vMerge/>
            <w:shd w:val="clear" w:color="auto" w:fill="000099"/>
            <w:noWrap/>
            <w:vAlign w:val="center"/>
            <w:hideMark/>
          </w:tcPr>
          <w:p>
            <w:pPr>
              <w:tabs>
                <w:tab w:val="left" w:pos="5103"/>
              </w:tabs>
              <w:jc w:val="center"/>
              <w:rPr>
                <w:rFonts w:ascii="Cambria" w:eastAsia="Times New Roman" w:hAnsi="Cambria" w:cstheme="majorHAnsi"/>
                <w:b/>
                <w:bCs/>
                <w:color w:val="FFFFFF" w:themeColor="background1"/>
                <w:sz w:val="24"/>
                <w:szCs w:val="24"/>
              </w:rPr>
            </w:pPr>
          </w:p>
        </w:tc>
        <w:tc>
          <w:tcPr>
            <w:tcW w:w="4764" w:type="dxa"/>
            <w:vMerge/>
            <w:shd w:val="clear" w:color="auto" w:fill="000099"/>
            <w:hideMark/>
          </w:tcPr>
          <w:p>
            <w:pPr>
              <w:tabs>
                <w:tab w:val="left" w:pos="5103"/>
              </w:tabs>
              <w:jc w:val="center"/>
              <w:rPr>
                <w:rFonts w:ascii="Cambria" w:eastAsia="Times New Roman" w:hAnsi="Cambria" w:cstheme="majorHAnsi"/>
                <w:b/>
                <w:bCs/>
                <w:color w:val="FFFFFF" w:themeColor="background1"/>
                <w:sz w:val="24"/>
                <w:szCs w:val="24"/>
              </w:rPr>
            </w:pPr>
          </w:p>
        </w:tc>
        <w:tc>
          <w:tcPr>
            <w:tcW w:w="719" w:type="dxa"/>
            <w:vMerge/>
            <w:shd w:val="clear" w:color="auto" w:fill="000099"/>
            <w:noWrap/>
            <w:vAlign w:val="center"/>
            <w:hideMark/>
          </w:tcPr>
          <w:p>
            <w:pPr>
              <w:tabs>
                <w:tab w:val="left" w:pos="5103"/>
              </w:tabs>
              <w:jc w:val="center"/>
              <w:rPr>
                <w:rFonts w:ascii="Cambria" w:eastAsia="Times New Roman" w:hAnsi="Cambria" w:cstheme="majorHAnsi"/>
                <w:b/>
                <w:bCs/>
                <w:color w:val="FFFFFF" w:themeColor="background1"/>
                <w:sz w:val="24"/>
                <w:szCs w:val="24"/>
              </w:rPr>
            </w:pPr>
          </w:p>
        </w:tc>
        <w:tc>
          <w:tcPr>
            <w:tcW w:w="943" w:type="dxa"/>
            <w:vMerge/>
            <w:shd w:val="clear" w:color="auto" w:fill="000099"/>
            <w:noWrap/>
            <w:vAlign w:val="center"/>
            <w:hideMark/>
          </w:tcPr>
          <w:p>
            <w:pPr>
              <w:tabs>
                <w:tab w:val="left" w:pos="5103"/>
              </w:tabs>
              <w:jc w:val="center"/>
              <w:rPr>
                <w:rFonts w:ascii="Cambria" w:eastAsia="Times New Roman" w:hAnsi="Cambria" w:cstheme="majorHAnsi"/>
                <w:b/>
                <w:bCs/>
                <w:color w:val="FFFFFF" w:themeColor="background1"/>
                <w:sz w:val="24"/>
                <w:szCs w:val="24"/>
              </w:rPr>
            </w:pPr>
          </w:p>
        </w:tc>
        <w:tc>
          <w:tcPr>
            <w:tcW w:w="1354" w:type="dxa"/>
            <w:shd w:val="clear" w:color="auto" w:fill="000099"/>
            <w:noWrap/>
            <w:vAlign w:val="center"/>
            <w:hideMark/>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UNITARIO</w:t>
            </w:r>
          </w:p>
        </w:tc>
        <w:tc>
          <w:tcPr>
            <w:tcW w:w="1418" w:type="dxa"/>
            <w:shd w:val="clear" w:color="auto" w:fill="000099"/>
            <w:noWrap/>
            <w:vAlign w:val="center"/>
            <w:hideMark/>
          </w:tcPr>
          <w:p>
            <w:pPr>
              <w:tabs>
                <w:tab w:val="left" w:pos="5103"/>
              </w:tabs>
              <w:jc w:val="center"/>
              <w:rPr>
                <w:rFonts w:ascii="Cambria" w:eastAsia="Times New Roman" w:hAnsi="Cambria" w:cstheme="majorHAnsi"/>
                <w:b/>
                <w:bCs/>
                <w:color w:val="FFFFFF" w:themeColor="background1"/>
                <w:sz w:val="24"/>
                <w:szCs w:val="24"/>
              </w:rPr>
            </w:pPr>
            <w:r>
              <w:rPr>
                <w:rFonts w:ascii="Cambria" w:eastAsia="Times New Roman" w:hAnsi="Cambria" w:cstheme="majorHAnsi"/>
                <w:b/>
                <w:bCs/>
                <w:color w:val="FFFFFF" w:themeColor="background1"/>
                <w:sz w:val="24"/>
                <w:szCs w:val="24"/>
              </w:rPr>
              <w:t>TOTAL</w:t>
            </w:r>
          </w:p>
        </w:tc>
      </w:tr>
      <w:tr>
        <w:trPr>
          <w:trHeight w:val="557"/>
        </w:trPr>
        <w:tc>
          <w:tcPr>
            <w:tcW w:w="720" w:type="dxa"/>
            <w:shd w:val="clear" w:color="000000" w:fill="FFFFFF"/>
            <w:noWrap/>
            <w:vAlign w:val="center"/>
            <w:hideMark/>
          </w:tcPr>
          <w:p>
            <w:pPr>
              <w:tabs>
                <w:tab w:val="left" w:pos="5103"/>
              </w:tabs>
              <w:jc w:val="center"/>
              <w:rPr>
                <w:rFonts w:ascii="Cambria" w:eastAsia="Times New Roman" w:hAnsi="Cambria" w:cstheme="majorHAnsi"/>
                <w:color w:val="000000"/>
                <w:sz w:val="24"/>
                <w:szCs w:val="24"/>
              </w:rPr>
            </w:pPr>
            <w:r>
              <w:rPr>
                <w:rFonts w:ascii="Cambria" w:hAnsi="Cambria"/>
                <w:sz w:val="24"/>
                <w:szCs w:val="24"/>
                <w:lang w:eastAsia="en-US"/>
              </w:rPr>
              <w:t>01</w:t>
            </w:r>
          </w:p>
        </w:tc>
        <w:tc>
          <w:tcPr>
            <w:tcW w:w="4764" w:type="dxa"/>
            <w:shd w:val="clear" w:color="000000" w:fill="FFFFFF"/>
            <w:vAlign w:val="center"/>
            <w:hideMark/>
          </w:tcPr>
          <w:p>
            <w:pPr>
              <w:tabs>
                <w:tab w:val="left" w:pos="5103"/>
              </w:tabs>
              <w:jc w:val="both"/>
              <w:rPr>
                <w:rFonts w:ascii="Cambria" w:eastAsia="Times New Roman" w:hAnsi="Cambria" w:cstheme="majorHAnsi"/>
                <w:color w:val="000000"/>
                <w:sz w:val="24"/>
                <w:szCs w:val="24"/>
              </w:rPr>
            </w:pPr>
          </w:p>
        </w:tc>
        <w:tc>
          <w:tcPr>
            <w:tcW w:w="719" w:type="dxa"/>
            <w:shd w:val="clear" w:color="000000" w:fill="FFFFFF"/>
            <w:noWrap/>
            <w:vAlign w:val="center"/>
          </w:tcPr>
          <w:p>
            <w:pPr>
              <w:tabs>
                <w:tab w:val="left" w:pos="5103"/>
              </w:tabs>
              <w:jc w:val="center"/>
              <w:rPr>
                <w:rFonts w:ascii="Cambria" w:eastAsia="Times New Roman" w:hAnsi="Cambria" w:cstheme="majorHAnsi"/>
                <w:color w:val="000000"/>
                <w:sz w:val="24"/>
                <w:szCs w:val="24"/>
              </w:rPr>
            </w:pPr>
          </w:p>
        </w:tc>
        <w:tc>
          <w:tcPr>
            <w:tcW w:w="943" w:type="dxa"/>
            <w:shd w:val="clear" w:color="000000" w:fill="FFFFFF"/>
            <w:noWrap/>
            <w:vAlign w:val="center"/>
          </w:tcPr>
          <w:p>
            <w:pPr>
              <w:tabs>
                <w:tab w:val="left" w:pos="5103"/>
              </w:tabs>
              <w:jc w:val="center"/>
              <w:rPr>
                <w:rFonts w:ascii="Cambria" w:eastAsia="Times New Roman" w:hAnsi="Cambria" w:cstheme="majorHAnsi"/>
                <w:color w:val="000000"/>
                <w:sz w:val="24"/>
                <w:szCs w:val="24"/>
              </w:rPr>
            </w:pPr>
          </w:p>
        </w:tc>
        <w:tc>
          <w:tcPr>
            <w:tcW w:w="1354" w:type="dxa"/>
            <w:shd w:val="clear" w:color="9FC5E8" w:fill="FFFFFF"/>
            <w:noWrap/>
            <w:vAlign w:val="center"/>
          </w:tcPr>
          <w:p>
            <w:pPr>
              <w:tabs>
                <w:tab w:val="left" w:pos="5103"/>
              </w:tabs>
              <w:jc w:val="center"/>
              <w:rPr>
                <w:rFonts w:ascii="Cambria" w:eastAsia="Times New Roman" w:hAnsi="Cambria" w:cstheme="majorHAnsi"/>
                <w:color w:val="000000"/>
                <w:sz w:val="24"/>
                <w:szCs w:val="24"/>
                <w:highlight w:val="yellow"/>
              </w:rPr>
            </w:pPr>
          </w:p>
        </w:tc>
        <w:tc>
          <w:tcPr>
            <w:tcW w:w="1418" w:type="dxa"/>
            <w:shd w:val="clear" w:color="9FC5E8" w:fill="FFFFFF"/>
            <w:noWrap/>
            <w:vAlign w:val="center"/>
          </w:tcPr>
          <w:p>
            <w:pPr>
              <w:tabs>
                <w:tab w:val="left" w:pos="5103"/>
              </w:tabs>
              <w:jc w:val="center"/>
              <w:rPr>
                <w:rFonts w:ascii="Cambria" w:eastAsia="Times New Roman" w:hAnsi="Cambria" w:cstheme="majorHAnsi"/>
                <w:color w:val="000000"/>
                <w:sz w:val="24"/>
                <w:szCs w:val="24"/>
                <w:highlight w:val="yellow"/>
              </w:rPr>
            </w:pPr>
          </w:p>
        </w:tc>
      </w:tr>
      <w:tr>
        <w:trPr>
          <w:trHeight w:val="362"/>
        </w:trPr>
        <w:tc>
          <w:tcPr>
            <w:tcW w:w="9918" w:type="dxa"/>
            <w:gridSpan w:val="6"/>
            <w:shd w:val="clear" w:color="000000" w:fill="FFFFFF"/>
            <w:noWrap/>
            <w:hideMark/>
          </w:tcPr>
          <w:p>
            <w:pPr>
              <w:tabs>
                <w:tab w:val="left" w:pos="5103"/>
              </w:tabs>
              <w:rPr>
                <w:rFonts w:ascii="Cambria" w:eastAsia="Times New Roman" w:hAnsi="Cambria" w:cstheme="majorHAnsi"/>
                <w:color w:val="000000"/>
                <w:sz w:val="24"/>
                <w:szCs w:val="24"/>
              </w:rPr>
            </w:pPr>
            <w:r>
              <w:rPr>
                <w:rFonts w:ascii="Cambria" w:eastAsia="Times New Roman" w:hAnsi="Cambria" w:cstheme="majorHAnsi"/>
                <w:b/>
                <w:bCs/>
                <w:color w:val="000000"/>
                <w:sz w:val="24"/>
                <w:szCs w:val="24"/>
              </w:rPr>
              <w:t>VALOR TOTAL DO LOTE:</w:t>
            </w:r>
            <w:r>
              <w:rPr>
                <w:rFonts w:ascii="Cambria" w:eastAsia="Times New Roman" w:hAnsi="Cambria" w:cstheme="majorHAnsi"/>
                <w:color w:val="000000"/>
                <w:sz w:val="24"/>
                <w:szCs w:val="24"/>
              </w:rPr>
              <w:t xml:space="preserve">  </w:t>
            </w:r>
          </w:p>
        </w:tc>
      </w:tr>
    </w:tbl>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QUARTA – DO PRAZO DE VIGÊNCIA</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4.1.</w:t>
      </w:r>
      <w:r>
        <w:rPr>
          <w:rFonts w:ascii="Cambria" w:eastAsia="Arial" w:hAnsi="Cambria" w:cs="Arial"/>
          <w:sz w:val="24"/>
          <w:szCs w:val="24"/>
        </w:rPr>
        <w:t xml:space="preserve"> O presente Instrumento produzirá seus jurídicos e legais efeitos a partir da data de sua assinatura e vigerá por 12 (doze) meses.</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QUINTA - DA ORIGEM DOS RECURSOS</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5.1.</w:t>
      </w:r>
      <w:r>
        <w:rPr>
          <w:rFonts w:ascii="Cambria" w:eastAsia="Arial" w:hAnsi="Cambria" w:cs="Arial"/>
          <w:sz w:val="24"/>
          <w:szCs w:val="24"/>
        </w:rPr>
        <w:t xml:space="preserve"> As despesas decorrentes desta contratação correrão à conta de recursos específicos consignados no respectivo Orçamento Municipal, inerentes a </w:t>
      </w:r>
      <w:r>
        <w:rPr>
          <w:rFonts w:ascii="Cambria" w:eastAsia="Arial" w:hAnsi="Cambria" w:cs="Arial"/>
          <w:b/>
          <w:bCs/>
          <w:sz w:val="24"/>
          <w:szCs w:val="24"/>
        </w:rPr>
        <w:t>SECRETARIA DE INFRAESTRUTURA E SERVIÇOS PÚBLICOS:</w:t>
      </w:r>
      <w:r>
        <w:rPr>
          <w:rFonts w:ascii="Cambria" w:eastAsia="Arial" w:hAnsi="Cambria" w:cs="Arial"/>
          <w:sz w:val="24"/>
          <w:szCs w:val="24"/>
        </w:rPr>
        <w:t xml:space="preserve"> </w:t>
      </w:r>
    </w:p>
    <w:p>
      <w:pPr>
        <w:tabs>
          <w:tab w:val="left" w:pos="5103"/>
        </w:tabs>
        <w:jc w:val="both"/>
        <w:rPr>
          <w:rFonts w:ascii="Cambria" w:eastAsia="Arial" w:hAnsi="Cambria" w:cs="Arial"/>
          <w:sz w:val="24"/>
          <w:szCs w:val="24"/>
        </w:rPr>
      </w:pPr>
      <w:r>
        <w:rPr>
          <w:rFonts w:ascii="Cambria" w:eastAsia="Arial" w:hAnsi="Cambria" w:cs="Arial"/>
          <w:b/>
          <w:bCs/>
          <w:sz w:val="24"/>
          <w:szCs w:val="24"/>
        </w:rPr>
        <w:t>DOTAÇÃO ORÇAMENTÁRIA:</w:t>
      </w:r>
      <w:r>
        <w:rPr>
          <w:rFonts w:ascii="Cambria" w:eastAsia="Arial" w:hAnsi="Cambria" w:cs="Arial"/>
          <w:sz w:val="24"/>
          <w:szCs w:val="24"/>
        </w:rPr>
        <w:t xml:space="preserve"> </w:t>
      </w:r>
    </w:p>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SEXTA - DA OBRIGAÇÃO DAS PARTES</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6.1</w:t>
      </w:r>
      <w:r>
        <w:rPr>
          <w:rFonts w:ascii="Cambria" w:eastAsia="Arial" w:hAnsi="Cambria" w:cs="Arial"/>
          <w:sz w:val="24"/>
          <w:szCs w:val="24"/>
        </w:rPr>
        <w:t>. As partes se obrigam reciprocamente a cumprir integralmente as disposições do instrumento convocatório, da Lei Federal nº 14.133/2021 de 1º de abril de 2021, alterada e consolidada e da Lei Federal n.º 14.133/21, e da proposta adjudicada.</w:t>
      </w:r>
    </w:p>
    <w:p>
      <w:pPr>
        <w:tabs>
          <w:tab w:val="left" w:pos="5103"/>
        </w:tabs>
        <w:jc w:val="both"/>
        <w:rPr>
          <w:rFonts w:ascii="Cambria" w:eastAsia="Arial" w:hAnsi="Cambria" w:cs="Arial"/>
          <w:sz w:val="24"/>
          <w:szCs w:val="24"/>
        </w:rPr>
      </w:pPr>
      <w:r>
        <w:rPr>
          <w:rFonts w:ascii="Cambria" w:eastAsia="Arial" w:hAnsi="Cambria" w:cs="Arial"/>
          <w:b/>
          <w:sz w:val="24"/>
          <w:szCs w:val="24"/>
        </w:rPr>
        <w:t>6.2.</w:t>
      </w:r>
      <w:r>
        <w:rPr>
          <w:rFonts w:ascii="Cambria" w:eastAsia="Arial" w:hAnsi="Cambria" w:cs="Arial"/>
          <w:sz w:val="24"/>
          <w:szCs w:val="24"/>
        </w:rPr>
        <w:t xml:space="preserve"> O CONTRATADO obriga-se a</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a)</w:t>
      </w:r>
      <w:r>
        <w:rPr>
          <w:rFonts w:ascii="Cambria" w:eastAsia="Arial" w:hAnsi="Cambria" w:cs="Arial"/>
          <w:sz w:val="24"/>
          <w:szCs w:val="24"/>
        </w:rPr>
        <w:t xml:space="preserve"> executar o fornecimento dos produtos contratados dentro dos padrões estabelecidos pelo MUNICÍPIO, de acordo com o especificado no instrumento convocatório e no ANEXO 01, que fazem parte deste instrumento, observando, ainda, todas as normas técnicas que eventualmente regulem o fornecimento, responsabilizando-se por eventuais prejuízos decorrentes do descumprimento de qualquer cláusula ou condição aqui estabelecida;</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 xml:space="preserve">b) </w:t>
      </w:r>
      <w:r>
        <w:rPr>
          <w:rFonts w:ascii="Cambria" w:eastAsia="Arial" w:hAnsi="Cambria" w:cs="Arial"/>
          <w:sz w:val="24"/>
          <w:szCs w:val="24"/>
        </w:rPr>
        <w:t>assumir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do fornecimento;</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c)</w:t>
      </w:r>
      <w:r>
        <w:rPr>
          <w:rFonts w:ascii="Cambria" w:eastAsia="Arial" w:hAnsi="Cambria" w:cs="Arial"/>
          <w:sz w:val="24"/>
          <w:szCs w:val="24"/>
        </w:rPr>
        <w:t xml:space="preserve"> a reparar, corrigir, remover ou substituir, às suas expensas, no total ou em parte, os produtos em que se verificarem vícios, defeitos ou incorreções;</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d)</w:t>
      </w:r>
      <w:r>
        <w:rPr>
          <w:rFonts w:ascii="Cambria" w:eastAsia="Arial" w:hAnsi="Cambria" w:cs="Arial"/>
          <w:sz w:val="24"/>
          <w:szCs w:val="24"/>
        </w:rPr>
        <w:t xml:space="preserve"> responsabilizar-se pelos danos causados diretamente ao MUNICÍPIO ou a terceiros, decorrentes de sua culpa ou dolo na execução do fornecimento, não excluindo ou </w:t>
      </w:r>
      <w:r>
        <w:rPr>
          <w:rFonts w:ascii="Cambria" w:eastAsia="Arial" w:hAnsi="Cambria" w:cs="Arial"/>
          <w:sz w:val="24"/>
          <w:szCs w:val="24"/>
        </w:rPr>
        <w:lastRenderedPageBreak/>
        <w:t>reduzindo essa responsabilidade a fiscalização ou o acompanhamento pelo órgão interessado;</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e)</w:t>
      </w:r>
      <w:r>
        <w:rPr>
          <w:rFonts w:ascii="Cambria" w:eastAsia="Arial" w:hAnsi="Cambria" w:cs="Arial"/>
          <w:sz w:val="24"/>
          <w:szCs w:val="24"/>
        </w:rPr>
        <w:t xml:space="preserve"> indicar preposto, aceito pela Administração, para representá-lo na execução do contrato. As decisões e providências que ultrapassarem a competência do representante do contratado deverão ser comunicadas a seus superiores em tempo hábil para a adoção das medidas convenientes;</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 xml:space="preserve">f) </w:t>
      </w:r>
      <w:r>
        <w:rPr>
          <w:rFonts w:ascii="Cambria" w:eastAsia="Arial" w:hAnsi="Cambria" w:cs="Arial"/>
          <w:sz w:val="24"/>
          <w:szCs w:val="24"/>
        </w:rPr>
        <w:t>aceitar, nas mesmas condições, os acréscimos ou supressões que se fizerem no fornecimento, até 25% (vinte e cinco por cento) do valor inicial atualizado do contrato, na forma do art. 125 da Lei nº 14.133/2021 de 1º de abril de 2021;</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g)</w:t>
      </w:r>
      <w:r>
        <w:rPr>
          <w:rFonts w:ascii="Cambria" w:eastAsia="Arial" w:hAnsi="Cambria" w:cs="Arial"/>
          <w:sz w:val="24"/>
          <w:szCs w:val="24"/>
        </w:rPr>
        <w:t xml:space="preserve"> entregar os produtos de forma a não comprometer o funcionamento dos serviços do MUNICÍPIO;</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h)</w:t>
      </w:r>
      <w:r>
        <w:rPr>
          <w:rFonts w:ascii="Cambria" w:eastAsia="Arial" w:hAnsi="Cambria" w:cs="Arial"/>
          <w:sz w:val="24"/>
          <w:szCs w:val="24"/>
        </w:rPr>
        <w:t xml:space="preserve"> comunicar antecipadamente a data e horário da entrega, não sendo aceitos os produtos que estiverem em desacordo com as especificações constantes deste instrumento, nem quaisquer pleitos de faturamentos extraordinários sob o pretexto de perfeito funcionamento e conclusão do objeto contratado.</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i)</w:t>
      </w:r>
      <w:r>
        <w:rPr>
          <w:rFonts w:ascii="Cambria" w:eastAsia="Arial" w:hAnsi="Cambria" w:cs="Arial"/>
          <w:sz w:val="24"/>
          <w:szCs w:val="24"/>
        </w:rPr>
        <w:t xml:space="preserve"> prestar os esclarecimentos que forem solicitados pelo MUNICÍPIO, cujas reclamações se obriga a atender prontamente, bem como dar ciência ao MUNICÍPIO, imediatamente e por escrito, de qualquer anormalidade que verificar quando da execução do contrato;</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j)</w:t>
      </w:r>
      <w:r>
        <w:rPr>
          <w:rFonts w:ascii="Cambria" w:eastAsia="Arial" w:hAnsi="Cambria" w:cs="Arial"/>
          <w:sz w:val="24"/>
          <w:szCs w:val="24"/>
        </w:rPr>
        <w:t xml:space="preserve"> dispor-se a toda e qualquer fiscalização do MUNICÍPIO, no tocante ao fornecimento dos produtos, assim como ao cumprimento das obrigações previstas;</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k)</w:t>
      </w:r>
      <w:r>
        <w:rPr>
          <w:rFonts w:ascii="Cambria" w:eastAsia="Arial" w:hAnsi="Cambria" w:cs="Arial"/>
          <w:sz w:val="24"/>
          <w:szCs w:val="24"/>
        </w:rPr>
        <w:t xml:space="preserve"> prover todos os meios necessários à garantia da plena operacionalidade do fornecimento, inclusive considerados os casos de greve ou paralisação de qualquer natureza;</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l)</w:t>
      </w:r>
      <w:r>
        <w:rPr>
          <w:rFonts w:ascii="Cambria" w:eastAsia="Arial" w:hAnsi="Cambria" w:cs="Arial"/>
          <w:sz w:val="24"/>
          <w:szCs w:val="24"/>
        </w:rPr>
        <w:t xml:space="preserve"> comunicar imediatamente ao MUNICÍPIO qualquer alteração ocorrida no endereço, conta bancária e outros considerados necessários para recebimento de correspondência;</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m)</w:t>
      </w:r>
      <w:r>
        <w:rPr>
          <w:rFonts w:ascii="Cambria" w:eastAsia="Arial" w:hAnsi="Cambria" w:cs="Arial"/>
          <w:sz w:val="24"/>
          <w:szCs w:val="24"/>
        </w:rPr>
        <w:t xml:space="preserve"> possibilitar ao MUNICÍPIO efetuar vistoria nas suas instalações, a fim de verificar as condições para atendimento do objeto contratual;</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n)</w:t>
      </w:r>
      <w:r>
        <w:rPr>
          <w:rFonts w:ascii="Cambria" w:eastAsia="Arial" w:hAnsi="Cambria" w:cs="Arial"/>
          <w:sz w:val="24"/>
          <w:szCs w:val="24"/>
        </w:rPr>
        <w:t xml:space="preserve"> manter, sob as penas da lei, o mais completo e absoluto sigilo sobre quaisquer dados, informações, documentos, especificações técnicas e comerciais dos materiais do MUNICÍPIO, de que venha a tomar conhecimento ou ter acesso, ou que venham a ser confiados, sejam relacionados ou não com o fornecimento do objeto deste contrato;</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o)</w:t>
      </w:r>
      <w:r>
        <w:rPr>
          <w:rFonts w:ascii="Cambria" w:eastAsia="Arial" w:hAnsi="Cambria" w:cs="Arial"/>
          <w:sz w:val="24"/>
          <w:szCs w:val="24"/>
        </w:rPr>
        <w:t xml:space="preserve"> manter seus empregados, quando nas dependências do MUNICÍPIO, devidamente identificados com crachá subscrito pela CONTRATADA, no qual constará, no mínimo, sua razão social, nome completo do empregado e fotografia 3x4;</w:t>
      </w:r>
    </w:p>
    <w:p>
      <w:pPr>
        <w:tabs>
          <w:tab w:val="left" w:pos="5103"/>
        </w:tabs>
        <w:ind w:left="708"/>
        <w:jc w:val="both"/>
        <w:rPr>
          <w:rFonts w:ascii="Cambria" w:eastAsia="Arial" w:hAnsi="Cambria" w:cs="Arial"/>
          <w:sz w:val="24"/>
          <w:szCs w:val="24"/>
        </w:rPr>
      </w:pPr>
      <w:r>
        <w:rPr>
          <w:rFonts w:ascii="Cambria" w:eastAsia="Arial" w:hAnsi="Cambria" w:cs="Arial"/>
          <w:b/>
          <w:sz w:val="24"/>
          <w:szCs w:val="24"/>
        </w:rPr>
        <w:t>p)</w:t>
      </w:r>
      <w:r>
        <w:rPr>
          <w:rFonts w:ascii="Cambria" w:eastAsia="Arial" w:hAnsi="Cambria" w:cs="Arial"/>
          <w:sz w:val="24"/>
          <w:szCs w:val="24"/>
        </w:rPr>
        <w:t xml:space="preserve"> Arcar com as despesas da entrega do produto no local indicado na autorização de fornecimento.</w:t>
      </w:r>
    </w:p>
    <w:p>
      <w:pPr>
        <w:tabs>
          <w:tab w:val="left" w:pos="5103"/>
        </w:tabs>
        <w:ind w:firstLine="708"/>
        <w:jc w:val="both"/>
        <w:rPr>
          <w:rFonts w:ascii="Cambria" w:eastAsia="Arial" w:hAnsi="Cambria" w:cs="Arial"/>
          <w:sz w:val="24"/>
          <w:szCs w:val="24"/>
        </w:rPr>
      </w:pPr>
      <w:r>
        <w:rPr>
          <w:rFonts w:ascii="Cambria" w:eastAsia="Arial" w:hAnsi="Cambria" w:cs="Arial"/>
          <w:b/>
          <w:sz w:val="24"/>
          <w:szCs w:val="24"/>
        </w:rPr>
        <w:t>6.2.2.</w:t>
      </w:r>
      <w:r>
        <w:rPr>
          <w:rFonts w:ascii="Cambria" w:eastAsia="Arial" w:hAnsi="Cambria" w:cs="Arial"/>
          <w:sz w:val="24"/>
          <w:szCs w:val="24"/>
        </w:rPr>
        <w:t xml:space="preserve"> No caso de constatação da inadequação dos produtos fornecidos às normas e exigências especificadas no Termo de Referência, no Edital ou na Proposta do Contratado, o Contratante os recusará, devendo no prazo máximo de 24 (vinte e quatro) horas ser adequados às supracitadas condições;</w:t>
      </w:r>
    </w:p>
    <w:p>
      <w:pPr>
        <w:tabs>
          <w:tab w:val="left" w:pos="5103"/>
        </w:tabs>
        <w:jc w:val="both"/>
        <w:rPr>
          <w:rFonts w:ascii="Cambria" w:eastAsia="Arial" w:hAnsi="Cambria" w:cs="Arial"/>
          <w:sz w:val="24"/>
          <w:szCs w:val="24"/>
        </w:rPr>
      </w:pPr>
      <w:r>
        <w:rPr>
          <w:rFonts w:ascii="Cambria" w:eastAsia="Arial" w:hAnsi="Cambria" w:cs="Arial"/>
          <w:b/>
          <w:sz w:val="24"/>
          <w:szCs w:val="24"/>
        </w:rPr>
        <w:t>6.3</w:t>
      </w:r>
      <w:r>
        <w:rPr>
          <w:rFonts w:ascii="Cambria" w:eastAsia="Arial" w:hAnsi="Cambria" w:cs="Arial"/>
          <w:sz w:val="24"/>
          <w:szCs w:val="24"/>
        </w:rPr>
        <w:t>. O CONTRATANTE obriga-se a:</w:t>
      </w:r>
    </w:p>
    <w:p>
      <w:pPr>
        <w:tabs>
          <w:tab w:val="left" w:pos="5103"/>
        </w:tabs>
        <w:jc w:val="both"/>
        <w:rPr>
          <w:rFonts w:ascii="Cambria" w:eastAsia="Arial" w:hAnsi="Cambria" w:cs="Arial"/>
          <w:sz w:val="24"/>
          <w:szCs w:val="24"/>
        </w:rPr>
      </w:pPr>
      <w:r>
        <w:rPr>
          <w:rFonts w:ascii="Cambria" w:eastAsia="Arial" w:hAnsi="Cambria" w:cs="Arial"/>
          <w:b/>
          <w:sz w:val="24"/>
          <w:szCs w:val="24"/>
        </w:rPr>
        <w:t xml:space="preserve">6.3.1. </w:t>
      </w:r>
      <w:r>
        <w:rPr>
          <w:rFonts w:ascii="Cambria" w:eastAsia="Arial" w:hAnsi="Cambria" w:cs="Arial"/>
          <w:sz w:val="24"/>
          <w:szCs w:val="24"/>
        </w:rPr>
        <w:t>assegurar o livre acesso do CONTRATADO e de seus prepostos, devidamente identificados, a todos os locais onde se fizer necessário o fornecimento dos bens, prestando-lhe todas as informações e esclarecimentos que, eventualmente, forem solicitados;</w:t>
      </w:r>
    </w:p>
    <w:p>
      <w:pPr>
        <w:tabs>
          <w:tab w:val="left" w:pos="5103"/>
        </w:tabs>
        <w:jc w:val="both"/>
        <w:rPr>
          <w:rFonts w:ascii="Cambria" w:eastAsia="Arial" w:hAnsi="Cambria" w:cs="Arial"/>
          <w:sz w:val="24"/>
          <w:szCs w:val="24"/>
        </w:rPr>
      </w:pPr>
      <w:r>
        <w:rPr>
          <w:rFonts w:ascii="Cambria" w:eastAsia="Arial" w:hAnsi="Cambria" w:cs="Arial"/>
          <w:b/>
          <w:sz w:val="24"/>
          <w:szCs w:val="24"/>
        </w:rPr>
        <w:t xml:space="preserve">6.3.2. </w:t>
      </w:r>
      <w:r>
        <w:rPr>
          <w:rFonts w:ascii="Cambria" w:eastAsia="Arial" w:hAnsi="Cambria" w:cs="Arial"/>
          <w:sz w:val="24"/>
          <w:szCs w:val="24"/>
        </w:rPr>
        <w:t>efetuar o pagamento ao CONTRATADO na forma prevista neste instrumento.</w:t>
      </w:r>
    </w:p>
    <w:p>
      <w:pPr>
        <w:tabs>
          <w:tab w:val="left" w:pos="5103"/>
        </w:tabs>
        <w:jc w:val="both"/>
        <w:rPr>
          <w:rFonts w:ascii="Cambria" w:eastAsia="Arial" w:hAnsi="Cambria" w:cs="Arial"/>
          <w:b/>
          <w:sz w:val="24"/>
          <w:szCs w:val="24"/>
        </w:rPr>
      </w:pPr>
    </w:p>
    <w:p>
      <w:pPr>
        <w:numPr>
          <w:ilvl w:val="1"/>
          <w:numId w:val="26"/>
        </w:numPr>
        <w:pBdr>
          <w:top w:val="nil"/>
          <w:left w:val="nil"/>
          <w:bottom w:val="nil"/>
          <w:right w:val="nil"/>
          <w:between w:val="nil"/>
        </w:pBdr>
        <w:tabs>
          <w:tab w:val="left" w:pos="426"/>
          <w:tab w:val="left" w:pos="5103"/>
        </w:tabs>
        <w:rPr>
          <w:rFonts w:ascii="Cambria" w:eastAsia="Arial" w:hAnsi="Cambria" w:cs="Arial"/>
          <w:b/>
          <w:color w:val="000000"/>
          <w:sz w:val="24"/>
          <w:szCs w:val="24"/>
        </w:rPr>
      </w:pPr>
      <w:r>
        <w:rPr>
          <w:rFonts w:ascii="Cambria" w:eastAsia="Arial" w:hAnsi="Cambria" w:cs="Arial"/>
          <w:b/>
          <w:color w:val="000000"/>
          <w:sz w:val="24"/>
          <w:szCs w:val="24"/>
        </w:rPr>
        <w:t>LOCAL DE ENTREGA DO OBJETO</w:t>
      </w:r>
    </w:p>
    <w:p>
      <w:pPr>
        <w:pBdr>
          <w:top w:val="nil"/>
          <w:left w:val="nil"/>
          <w:bottom w:val="nil"/>
          <w:right w:val="nil"/>
          <w:between w:val="nil"/>
        </w:pBdr>
        <w:tabs>
          <w:tab w:val="left" w:pos="284"/>
          <w:tab w:val="left" w:pos="5103"/>
        </w:tabs>
        <w:jc w:val="both"/>
        <w:rPr>
          <w:rFonts w:ascii="Cambria" w:eastAsia="Arial" w:hAnsi="Cambria" w:cs="Arial"/>
          <w:color w:val="000000"/>
          <w:sz w:val="24"/>
          <w:szCs w:val="24"/>
        </w:rPr>
      </w:pPr>
      <w:r>
        <w:rPr>
          <w:rFonts w:ascii="Cambria" w:eastAsia="Arial" w:hAnsi="Cambria" w:cs="Arial"/>
          <w:color w:val="000000"/>
          <w:sz w:val="24"/>
          <w:szCs w:val="24"/>
        </w:rPr>
        <w:lastRenderedPageBreak/>
        <w:t xml:space="preserve">6.4.1. Os produtos deverão ser entregues nos locais designados na ordem de compra emitida pelo Setor competente da </w:t>
      </w:r>
      <w:r>
        <w:rPr>
          <w:rFonts w:ascii="Cambria" w:eastAsia="Arial" w:hAnsi="Cambria" w:cs="Arial"/>
          <w:b/>
          <w:color w:val="000000"/>
          <w:sz w:val="24"/>
          <w:szCs w:val="24"/>
        </w:rPr>
        <w:t>SECRETARIA DE INFRAESTRUTURA E SERVIÇOS PÚBLICOS</w:t>
      </w:r>
      <w:r>
        <w:rPr>
          <w:rFonts w:ascii="Cambria" w:eastAsia="Arial" w:hAnsi="Cambria" w:cs="Arial"/>
          <w:color w:val="000000"/>
          <w:sz w:val="24"/>
          <w:szCs w:val="24"/>
        </w:rPr>
        <w:t>, no âmbito do município de Miraíma/CE.</w:t>
      </w:r>
    </w:p>
    <w:p>
      <w:pPr>
        <w:pBdr>
          <w:top w:val="nil"/>
          <w:left w:val="nil"/>
          <w:bottom w:val="nil"/>
          <w:right w:val="nil"/>
          <w:between w:val="nil"/>
        </w:pBdr>
        <w:tabs>
          <w:tab w:val="left" w:pos="284"/>
          <w:tab w:val="left" w:pos="5103"/>
        </w:tabs>
        <w:jc w:val="both"/>
        <w:rPr>
          <w:rFonts w:ascii="Cambria" w:eastAsia="Arial" w:hAnsi="Cambria" w:cs="Arial"/>
          <w:color w:val="000000"/>
          <w:sz w:val="24"/>
          <w:szCs w:val="24"/>
        </w:rPr>
      </w:pPr>
    </w:p>
    <w:p>
      <w:pPr>
        <w:numPr>
          <w:ilvl w:val="1"/>
          <w:numId w:val="26"/>
        </w:numPr>
        <w:pBdr>
          <w:top w:val="nil"/>
          <w:left w:val="nil"/>
          <w:bottom w:val="nil"/>
          <w:right w:val="nil"/>
          <w:between w:val="nil"/>
        </w:pBdr>
        <w:tabs>
          <w:tab w:val="left" w:pos="284"/>
          <w:tab w:val="left" w:pos="426"/>
          <w:tab w:val="left" w:pos="5103"/>
        </w:tabs>
        <w:rPr>
          <w:rFonts w:ascii="Cambria" w:eastAsia="Arial" w:hAnsi="Cambria" w:cs="Arial"/>
          <w:b/>
          <w:color w:val="000000"/>
          <w:sz w:val="24"/>
          <w:szCs w:val="24"/>
        </w:rPr>
      </w:pPr>
      <w:r>
        <w:rPr>
          <w:rFonts w:ascii="Cambria" w:eastAsia="Arial" w:hAnsi="Cambria" w:cs="Arial"/>
          <w:b/>
          <w:color w:val="000000"/>
          <w:sz w:val="24"/>
          <w:szCs w:val="24"/>
        </w:rPr>
        <w:t>PRAZO PARA ENTREGA DOS PRODUTOS</w:t>
      </w:r>
    </w:p>
    <w:p>
      <w:pPr>
        <w:tabs>
          <w:tab w:val="left" w:pos="284"/>
          <w:tab w:val="left" w:pos="2525"/>
          <w:tab w:val="center" w:pos="4873"/>
          <w:tab w:val="left" w:pos="5103"/>
        </w:tabs>
        <w:jc w:val="both"/>
        <w:rPr>
          <w:rFonts w:ascii="Cambria" w:eastAsia="Arial" w:hAnsi="Cambria" w:cs="Arial"/>
          <w:sz w:val="24"/>
          <w:szCs w:val="24"/>
        </w:rPr>
      </w:pPr>
      <w:r>
        <w:rPr>
          <w:rFonts w:ascii="Cambria" w:eastAsia="Arial" w:hAnsi="Cambria" w:cs="Arial"/>
          <w:sz w:val="24"/>
          <w:szCs w:val="24"/>
        </w:rPr>
        <w:t xml:space="preserve">6.5.1. Os produtos deverão ser entregues em até </w:t>
      </w:r>
      <w:r>
        <w:rPr>
          <w:rFonts w:ascii="Cambria" w:eastAsia="Arial" w:hAnsi="Cambria" w:cs="Arial"/>
          <w:b/>
          <w:sz w:val="24"/>
          <w:szCs w:val="24"/>
        </w:rPr>
        <w:t xml:space="preserve">30 (TRINTA) DIAS, </w:t>
      </w:r>
      <w:r>
        <w:rPr>
          <w:rFonts w:ascii="Cambria" w:eastAsia="Arial" w:hAnsi="Cambria" w:cs="Arial"/>
          <w:sz w:val="24"/>
          <w:szCs w:val="24"/>
        </w:rPr>
        <w:t>a contar da emissão da ORDEM DE COMPRA, que será enviada à contratada através de e-mail ou outro meio que comprove o seu recebimento.</w:t>
      </w:r>
    </w:p>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SÉTIMA - DAS SANÇÕES</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7.1.</w:t>
      </w:r>
      <w:r>
        <w:rPr>
          <w:rFonts w:ascii="Cambria" w:eastAsia="Arial" w:hAnsi="Cambria" w:cs="Arial"/>
          <w:sz w:val="24"/>
          <w:szCs w:val="24"/>
        </w:rPr>
        <w:t xml:space="preserve"> Comete infração administrativa, a Contratada que:</w:t>
      </w:r>
    </w:p>
    <w:p>
      <w:pPr>
        <w:tabs>
          <w:tab w:val="left" w:pos="5103"/>
        </w:tabs>
        <w:jc w:val="both"/>
        <w:rPr>
          <w:rFonts w:ascii="Cambria" w:eastAsia="Arial" w:hAnsi="Cambria" w:cs="Arial"/>
          <w:sz w:val="24"/>
          <w:szCs w:val="24"/>
        </w:rPr>
      </w:pPr>
      <w:r>
        <w:rPr>
          <w:rFonts w:ascii="Cambria" w:eastAsia="Arial" w:hAnsi="Cambria" w:cs="Arial"/>
          <w:sz w:val="24"/>
          <w:szCs w:val="24"/>
        </w:rPr>
        <w:t>a) der causa à inexecução parcial do contrato;</w:t>
      </w:r>
    </w:p>
    <w:p>
      <w:pPr>
        <w:tabs>
          <w:tab w:val="left" w:pos="5103"/>
        </w:tabs>
        <w:jc w:val="both"/>
        <w:rPr>
          <w:rFonts w:ascii="Cambria" w:eastAsia="Arial" w:hAnsi="Cambria" w:cs="Arial"/>
          <w:sz w:val="24"/>
          <w:szCs w:val="24"/>
        </w:rPr>
      </w:pPr>
      <w:r>
        <w:rPr>
          <w:rFonts w:ascii="Cambria" w:eastAsia="Arial" w:hAnsi="Cambria" w:cs="Arial"/>
          <w:sz w:val="24"/>
          <w:szCs w:val="24"/>
        </w:rPr>
        <w:t>b) der causa à inexecução parcial do contrato que cause grave dano à Administração ou ao funcionamento dos serviços públicos ou ao interesse coletivo;</w:t>
      </w:r>
    </w:p>
    <w:p>
      <w:pPr>
        <w:tabs>
          <w:tab w:val="left" w:pos="5103"/>
        </w:tabs>
        <w:jc w:val="both"/>
        <w:rPr>
          <w:rFonts w:ascii="Cambria" w:eastAsia="Arial" w:hAnsi="Cambria" w:cs="Arial"/>
          <w:sz w:val="24"/>
          <w:szCs w:val="24"/>
        </w:rPr>
      </w:pPr>
      <w:r>
        <w:rPr>
          <w:rFonts w:ascii="Cambria" w:eastAsia="Arial" w:hAnsi="Cambria" w:cs="Arial"/>
          <w:sz w:val="24"/>
          <w:szCs w:val="24"/>
        </w:rPr>
        <w:t>c) der causa à inexecução total do contrato;</w:t>
      </w:r>
    </w:p>
    <w:p>
      <w:pPr>
        <w:tabs>
          <w:tab w:val="left" w:pos="5103"/>
        </w:tabs>
        <w:jc w:val="both"/>
        <w:rPr>
          <w:rFonts w:ascii="Cambria" w:eastAsia="Arial" w:hAnsi="Cambria" w:cs="Arial"/>
          <w:sz w:val="24"/>
          <w:szCs w:val="24"/>
        </w:rPr>
      </w:pPr>
      <w:r>
        <w:rPr>
          <w:rFonts w:ascii="Cambria" w:eastAsia="Arial" w:hAnsi="Cambria" w:cs="Arial"/>
          <w:sz w:val="24"/>
          <w:szCs w:val="24"/>
        </w:rPr>
        <w:t>d) deixar de entregar a documentação exigida para o certame;</w:t>
      </w:r>
    </w:p>
    <w:p>
      <w:pPr>
        <w:tabs>
          <w:tab w:val="left" w:pos="5103"/>
        </w:tabs>
        <w:jc w:val="both"/>
        <w:rPr>
          <w:rFonts w:ascii="Cambria" w:eastAsia="Arial" w:hAnsi="Cambria" w:cs="Arial"/>
          <w:sz w:val="24"/>
          <w:szCs w:val="24"/>
        </w:rPr>
      </w:pPr>
      <w:r>
        <w:rPr>
          <w:rFonts w:ascii="Cambria" w:eastAsia="Arial" w:hAnsi="Cambria" w:cs="Arial"/>
          <w:sz w:val="24"/>
          <w:szCs w:val="24"/>
        </w:rPr>
        <w:t>e) não manter a proposta, salvo em decorrência de fato superveniente devidamente justificado;</w:t>
      </w:r>
    </w:p>
    <w:p>
      <w:pPr>
        <w:tabs>
          <w:tab w:val="left" w:pos="5103"/>
        </w:tabs>
        <w:jc w:val="both"/>
        <w:rPr>
          <w:rFonts w:ascii="Cambria" w:eastAsia="Arial" w:hAnsi="Cambria" w:cs="Arial"/>
          <w:sz w:val="24"/>
          <w:szCs w:val="24"/>
        </w:rPr>
      </w:pPr>
      <w:r>
        <w:rPr>
          <w:rFonts w:ascii="Cambria" w:eastAsia="Arial" w:hAnsi="Cambria" w:cs="Arial"/>
          <w:sz w:val="24"/>
          <w:szCs w:val="24"/>
        </w:rPr>
        <w:t>f) não celebrar o contrato ou não entregar a documentação exigida para a contratação, quando convocado dentro do prazo de validade de sua proposta;</w:t>
      </w:r>
    </w:p>
    <w:p>
      <w:pPr>
        <w:tabs>
          <w:tab w:val="left" w:pos="5103"/>
        </w:tabs>
        <w:jc w:val="both"/>
        <w:rPr>
          <w:rFonts w:ascii="Cambria" w:eastAsia="Arial" w:hAnsi="Cambria" w:cs="Arial"/>
          <w:sz w:val="24"/>
          <w:szCs w:val="24"/>
        </w:rPr>
      </w:pPr>
      <w:r>
        <w:rPr>
          <w:rFonts w:ascii="Cambria" w:eastAsia="Arial" w:hAnsi="Cambria" w:cs="Arial"/>
          <w:sz w:val="24"/>
          <w:szCs w:val="24"/>
        </w:rPr>
        <w:t>g) ensejar o retardamento da execução ou da entrega do objeto da contratação sem motivo justificado;</w:t>
      </w:r>
    </w:p>
    <w:p>
      <w:pPr>
        <w:tabs>
          <w:tab w:val="left" w:pos="5103"/>
        </w:tabs>
        <w:jc w:val="both"/>
        <w:rPr>
          <w:rFonts w:ascii="Cambria" w:eastAsia="Arial" w:hAnsi="Cambria" w:cs="Arial"/>
          <w:sz w:val="24"/>
          <w:szCs w:val="24"/>
        </w:rPr>
      </w:pPr>
      <w:r>
        <w:rPr>
          <w:rFonts w:ascii="Cambria" w:eastAsia="Arial" w:hAnsi="Cambria" w:cs="Arial"/>
          <w:sz w:val="24"/>
          <w:szCs w:val="24"/>
        </w:rPr>
        <w:t>h) apresentar declaração ou documentação falsa exigida para o certame ou prestar declaração falsa durante a dispensa eletrônica ou execução do contrato;</w:t>
      </w:r>
    </w:p>
    <w:p>
      <w:pPr>
        <w:tabs>
          <w:tab w:val="left" w:pos="5103"/>
        </w:tabs>
        <w:jc w:val="both"/>
        <w:rPr>
          <w:rFonts w:ascii="Cambria" w:eastAsia="Arial" w:hAnsi="Cambria" w:cs="Arial"/>
          <w:sz w:val="24"/>
          <w:szCs w:val="24"/>
        </w:rPr>
      </w:pPr>
      <w:r>
        <w:rPr>
          <w:rFonts w:ascii="Cambria" w:eastAsia="Arial" w:hAnsi="Cambria" w:cs="Arial"/>
          <w:sz w:val="24"/>
          <w:szCs w:val="24"/>
        </w:rPr>
        <w:t>i) fraudar a contratação ou praticar ato fraudulento na execução do contrato;</w:t>
      </w:r>
    </w:p>
    <w:p>
      <w:pPr>
        <w:tabs>
          <w:tab w:val="left" w:pos="5103"/>
        </w:tabs>
        <w:jc w:val="both"/>
        <w:rPr>
          <w:rFonts w:ascii="Cambria" w:eastAsia="Arial" w:hAnsi="Cambria" w:cs="Arial"/>
          <w:sz w:val="24"/>
          <w:szCs w:val="24"/>
        </w:rPr>
      </w:pPr>
      <w:r>
        <w:rPr>
          <w:rFonts w:ascii="Cambria" w:eastAsia="Arial" w:hAnsi="Cambria" w:cs="Arial"/>
          <w:sz w:val="24"/>
          <w:szCs w:val="24"/>
        </w:rPr>
        <w:t>j) comportar-se de modo inidôneo ou cometer fraude de qualquer natureza;</w:t>
      </w:r>
    </w:p>
    <w:p>
      <w:pPr>
        <w:tabs>
          <w:tab w:val="left" w:pos="5103"/>
        </w:tabs>
        <w:jc w:val="both"/>
        <w:rPr>
          <w:rFonts w:ascii="Cambria" w:eastAsia="Arial" w:hAnsi="Cambria" w:cs="Arial"/>
          <w:sz w:val="24"/>
          <w:szCs w:val="24"/>
        </w:rPr>
      </w:pPr>
      <w:r>
        <w:rPr>
          <w:rFonts w:ascii="Cambria" w:eastAsia="Arial" w:hAnsi="Cambria" w:cs="Arial"/>
          <w:sz w:val="24"/>
          <w:szCs w:val="24"/>
        </w:rPr>
        <w:t>k) praticar atos ilícitos com vistas a frustrar os objetivos da contratação;</w:t>
      </w:r>
    </w:p>
    <w:p>
      <w:pPr>
        <w:tabs>
          <w:tab w:val="left" w:pos="5103"/>
        </w:tabs>
        <w:jc w:val="both"/>
        <w:rPr>
          <w:rFonts w:ascii="Cambria" w:eastAsia="Arial" w:hAnsi="Cambria" w:cs="Arial"/>
          <w:sz w:val="24"/>
          <w:szCs w:val="24"/>
        </w:rPr>
      </w:pPr>
      <w:r>
        <w:rPr>
          <w:rFonts w:ascii="Cambria" w:eastAsia="Arial" w:hAnsi="Cambria" w:cs="Arial"/>
          <w:sz w:val="24"/>
          <w:szCs w:val="24"/>
        </w:rPr>
        <w:t>l) praticar ato lesivo previsto no art. 5º da Lei nº 12.846, de 1º de agosto de 2013.</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sz w:val="24"/>
          <w:szCs w:val="24"/>
        </w:rPr>
      </w:pPr>
      <w:r>
        <w:rPr>
          <w:rFonts w:ascii="Cambria" w:eastAsia="Arial" w:hAnsi="Cambria" w:cs="Arial"/>
          <w:b/>
          <w:sz w:val="24"/>
          <w:szCs w:val="24"/>
        </w:rPr>
        <w:t>7.2.</w:t>
      </w:r>
      <w:r>
        <w:rPr>
          <w:rFonts w:ascii="Cambria" w:eastAsia="Arial" w:hAnsi="Cambria" w:cs="Arial"/>
          <w:sz w:val="24"/>
          <w:szCs w:val="24"/>
        </w:rPr>
        <w:t xml:space="preserve"> Serão aplicadas à responsável pelas infrações administrativas acima descritas as seguintes sanções:</w:t>
      </w:r>
    </w:p>
    <w:p>
      <w:pPr>
        <w:tabs>
          <w:tab w:val="left" w:pos="5103"/>
        </w:tabs>
        <w:jc w:val="both"/>
        <w:rPr>
          <w:rFonts w:ascii="Cambria" w:eastAsia="Arial" w:hAnsi="Cambria" w:cs="Arial"/>
          <w:sz w:val="24"/>
          <w:szCs w:val="24"/>
        </w:rPr>
      </w:pPr>
      <w:r>
        <w:rPr>
          <w:rFonts w:ascii="Cambria" w:eastAsia="Arial" w:hAnsi="Cambria" w:cs="Arial"/>
          <w:sz w:val="24"/>
          <w:szCs w:val="24"/>
        </w:rPr>
        <w:t>a) Advertência, quando a Contratada der causa à inexecução parcial do contrato, sempre que não se justificar a imposição de penalidade mais grave);</w:t>
      </w:r>
    </w:p>
    <w:p>
      <w:pPr>
        <w:tabs>
          <w:tab w:val="left" w:pos="5103"/>
        </w:tabs>
        <w:jc w:val="both"/>
        <w:rPr>
          <w:rFonts w:ascii="Cambria" w:eastAsia="Arial" w:hAnsi="Cambria" w:cs="Arial"/>
          <w:sz w:val="24"/>
          <w:szCs w:val="24"/>
        </w:rPr>
      </w:pPr>
      <w:r>
        <w:rPr>
          <w:rFonts w:ascii="Cambria" w:eastAsia="Arial" w:hAnsi="Cambria" w:cs="Arial"/>
          <w:sz w:val="24"/>
          <w:szCs w:val="24"/>
        </w:rPr>
        <w:t xml:space="preserve">b) Impedimento de licitar e contratar, quando praticadas as condutas descritas nas alíneas b, c, d, e, f e g do subitem acima deste contrato, sempre que não se justificar a imposição de penalidade mais grave </w:t>
      </w:r>
    </w:p>
    <w:p>
      <w:pPr>
        <w:tabs>
          <w:tab w:val="left" w:pos="5103"/>
        </w:tabs>
        <w:jc w:val="both"/>
        <w:rPr>
          <w:rFonts w:ascii="Cambria" w:eastAsia="Arial" w:hAnsi="Cambria" w:cs="Arial"/>
          <w:sz w:val="24"/>
          <w:szCs w:val="24"/>
        </w:rPr>
      </w:pPr>
      <w:r>
        <w:rPr>
          <w:rFonts w:ascii="Cambria" w:eastAsia="Arial" w:hAnsi="Cambria" w:cs="Arial"/>
          <w:sz w:val="24"/>
          <w:szCs w:val="24"/>
        </w:rPr>
        <w:t>c) Declaração de inidoneidade para licitar e contratar, quando praticadas as condutas descritas nas alíneas h, i, j, k e l do subitem acima deste contrato, bem como nas alíneas b, c, d, e, f e g, que justifiquem a imposição de penalidade mais grave</w:t>
      </w:r>
    </w:p>
    <w:p>
      <w:pPr>
        <w:tabs>
          <w:tab w:val="left" w:pos="5103"/>
        </w:tabs>
        <w:jc w:val="both"/>
        <w:rPr>
          <w:rFonts w:ascii="Cambria" w:eastAsia="Arial" w:hAnsi="Cambria" w:cs="Arial"/>
          <w:sz w:val="24"/>
          <w:szCs w:val="24"/>
        </w:rPr>
      </w:pPr>
      <w:r>
        <w:rPr>
          <w:rFonts w:ascii="Cambria" w:eastAsia="Arial" w:hAnsi="Cambria" w:cs="Arial"/>
          <w:sz w:val="24"/>
          <w:szCs w:val="24"/>
        </w:rPr>
        <w:t>d) Multa:</w:t>
      </w:r>
    </w:p>
    <w:p>
      <w:pPr>
        <w:tabs>
          <w:tab w:val="left" w:pos="5103"/>
        </w:tabs>
        <w:jc w:val="both"/>
        <w:rPr>
          <w:rFonts w:ascii="Cambria" w:eastAsia="Arial" w:hAnsi="Cambria" w:cs="Arial"/>
          <w:sz w:val="24"/>
          <w:szCs w:val="24"/>
        </w:rPr>
      </w:pPr>
      <w:r>
        <w:rPr>
          <w:rFonts w:ascii="Cambria" w:eastAsia="Arial" w:hAnsi="Cambria" w:cs="Arial"/>
          <w:sz w:val="24"/>
          <w:szCs w:val="24"/>
        </w:rPr>
        <w:t>(1) moratória de 0,5% (cinco décimos por cento) por dia de atraso injustificado sobre o valor da parcela inadimplida, até o limite de 30% (trinta por cento) do contrato ou instrumento equivalente;</w:t>
      </w:r>
    </w:p>
    <w:p>
      <w:pPr>
        <w:tabs>
          <w:tab w:val="left" w:pos="5103"/>
        </w:tabs>
        <w:jc w:val="both"/>
        <w:rPr>
          <w:rFonts w:ascii="Cambria" w:eastAsia="Arial" w:hAnsi="Cambria" w:cs="Arial"/>
          <w:sz w:val="24"/>
          <w:szCs w:val="24"/>
        </w:rPr>
      </w:pPr>
      <w:r>
        <w:rPr>
          <w:rFonts w:ascii="Cambria" w:eastAsia="Arial" w:hAnsi="Cambria" w:cs="Arial"/>
          <w:sz w:val="24"/>
          <w:szCs w:val="24"/>
        </w:rPr>
        <w:t>(2) compensatória de 5% (cinco por cento) sobre o valor da parcela inadimplida à Contratada que entregar o objeto contratual em desacordo com as especificações, condições e qualidade contratadas ou com irregularidades ou defeitos ocultos que o tornem impróprio para o fim a que se destina;</w:t>
      </w:r>
    </w:p>
    <w:p>
      <w:pPr>
        <w:tabs>
          <w:tab w:val="left" w:pos="5103"/>
        </w:tabs>
        <w:jc w:val="both"/>
        <w:rPr>
          <w:rFonts w:ascii="Cambria" w:eastAsia="Arial" w:hAnsi="Cambria" w:cs="Arial"/>
          <w:sz w:val="24"/>
          <w:szCs w:val="24"/>
        </w:rPr>
      </w:pPr>
      <w:r>
        <w:rPr>
          <w:rFonts w:ascii="Cambria" w:eastAsia="Arial" w:hAnsi="Cambria" w:cs="Arial"/>
          <w:sz w:val="24"/>
          <w:szCs w:val="24"/>
        </w:rPr>
        <w:lastRenderedPageBreak/>
        <w:t>(3) compensatória de até 3% (três por cento) sobre o valor de referência ao licitante ou contratada que retardar o procedimento de contratação, descumprir preceito normativo ou obrigações assumidas, tais como:</w:t>
      </w:r>
    </w:p>
    <w:p>
      <w:pPr>
        <w:tabs>
          <w:tab w:val="left" w:pos="5103"/>
        </w:tabs>
        <w:jc w:val="both"/>
        <w:rPr>
          <w:rFonts w:ascii="Cambria" w:eastAsia="Arial" w:hAnsi="Cambria" w:cs="Arial"/>
          <w:sz w:val="24"/>
          <w:szCs w:val="24"/>
        </w:rPr>
      </w:pPr>
      <w:r>
        <w:rPr>
          <w:rFonts w:ascii="Cambria" w:eastAsia="Arial" w:hAnsi="Cambria" w:cs="Arial"/>
          <w:sz w:val="24"/>
          <w:szCs w:val="24"/>
        </w:rPr>
        <w:t>I – Propor recursos manifestamente protelatórios em sede de contratação direta;</w:t>
      </w:r>
    </w:p>
    <w:p>
      <w:pPr>
        <w:tabs>
          <w:tab w:val="left" w:pos="5103"/>
        </w:tabs>
        <w:jc w:val="both"/>
        <w:rPr>
          <w:rFonts w:ascii="Cambria" w:eastAsia="Arial" w:hAnsi="Cambria" w:cs="Arial"/>
          <w:sz w:val="24"/>
          <w:szCs w:val="24"/>
        </w:rPr>
      </w:pPr>
      <w:r>
        <w:rPr>
          <w:rFonts w:ascii="Cambria" w:eastAsia="Arial" w:hAnsi="Cambria" w:cs="Arial"/>
          <w:sz w:val="24"/>
          <w:szCs w:val="24"/>
        </w:rPr>
        <w:t>II – Deixar de providenciar o cadastramento da empresa vencedora da licitação ou da contratação direta junto ao Sistema de Cadastro de Fornecedores dentro do prazo concedido, salvo por motivo justificado e aceito pela administração;</w:t>
      </w:r>
    </w:p>
    <w:p>
      <w:pPr>
        <w:tabs>
          <w:tab w:val="left" w:pos="5103"/>
        </w:tabs>
        <w:jc w:val="both"/>
        <w:rPr>
          <w:rFonts w:ascii="Cambria" w:eastAsia="Arial" w:hAnsi="Cambria" w:cs="Arial"/>
          <w:sz w:val="24"/>
          <w:szCs w:val="24"/>
        </w:rPr>
      </w:pPr>
      <w:r>
        <w:rPr>
          <w:rFonts w:ascii="Cambria" w:eastAsia="Arial" w:hAnsi="Cambria" w:cs="Arial"/>
          <w:sz w:val="24"/>
          <w:szCs w:val="24"/>
        </w:rPr>
        <w:t>III – deixar de cumprir as exigências de reserva de cargos previstas em lei, bem como em outras normas específicas, para pessoa com deficiência, para reabilitado da Previdência Social e para aprendiz;</w:t>
      </w:r>
    </w:p>
    <w:p>
      <w:pPr>
        <w:tabs>
          <w:tab w:val="left" w:pos="5103"/>
        </w:tabs>
        <w:jc w:val="both"/>
        <w:rPr>
          <w:rFonts w:ascii="Cambria" w:eastAsia="Arial" w:hAnsi="Cambria" w:cs="Arial"/>
          <w:sz w:val="24"/>
          <w:szCs w:val="24"/>
        </w:rPr>
      </w:pPr>
      <w:r>
        <w:rPr>
          <w:rFonts w:ascii="Cambria" w:eastAsia="Arial" w:hAnsi="Cambria" w:cs="Arial"/>
          <w:sz w:val="24"/>
          <w:szCs w:val="24"/>
        </w:rPr>
        <w:t>IV – Deixar de cumprir o modelo de gestão do contrato;</w:t>
      </w:r>
    </w:p>
    <w:p>
      <w:pPr>
        <w:tabs>
          <w:tab w:val="left" w:pos="5103"/>
        </w:tabs>
        <w:jc w:val="both"/>
        <w:rPr>
          <w:rFonts w:ascii="Cambria" w:eastAsia="Arial" w:hAnsi="Cambria" w:cs="Arial"/>
          <w:sz w:val="24"/>
          <w:szCs w:val="24"/>
        </w:rPr>
      </w:pPr>
      <w:r>
        <w:rPr>
          <w:rFonts w:ascii="Cambria" w:eastAsia="Arial" w:hAnsi="Cambria" w:cs="Arial"/>
          <w:sz w:val="24"/>
          <w:szCs w:val="24"/>
        </w:rPr>
        <w:t>V – Deixar de complementar o valor da garantia recolhida após solicitação do Contratante;</w:t>
      </w:r>
    </w:p>
    <w:p>
      <w:pPr>
        <w:tabs>
          <w:tab w:val="left" w:pos="5103"/>
        </w:tabs>
        <w:jc w:val="both"/>
        <w:rPr>
          <w:rFonts w:ascii="Cambria" w:eastAsia="Arial" w:hAnsi="Cambria" w:cs="Arial"/>
          <w:sz w:val="24"/>
          <w:szCs w:val="24"/>
        </w:rPr>
      </w:pPr>
      <w:r>
        <w:rPr>
          <w:rFonts w:ascii="Cambria" w:eastAsia="Arial" w:hAnsi="Cambria" w:cs="Arial"/>
          <w:sz w:val="24"/>
          <w:szCs w:val="24"/>
        </w:rPr>
        <w:t>VI – Não devolver os valores pagos indevidamente pelo Contratante;</w:t>
      </w:r>
    </w:p>
    <w:p>
      <w:pPr>
        <w:tabs>
          <w:tab w:val="left" w:pos="5103"/>
        </w:tabs>
        <w:jc w:val="both"/>
        <w:rPr>
          <w:rFonts w:ascii="Cambria" w:eastAsia="Arial" w:hAnsi="Cambria" w:cs="Arial"/>
          <w:sz w:val="24"/>
          <w:szCs w:val="24"/>
        </w:rPr>
      </w:pPr>
      <w:r>
        <w:rPr>
          <w:rFonts w:ascii="Cambria" w:eastAsia="Arial" w:hAnsi="Cambria" w:cs="Arial"/>
          <w:sz w:val="24"/>
          <w:szCs w:val="24"/>
        </w:rPr>
        <w:t>VII – não manter, durante a execução do contrato, todas as condições exigidas para a habilitação, em caso de licitação, ou para a qualificação, em caso de contratação direta, ou, ainda, quaisquer outras obrigações;</w:t>
      </w:r>
    </w:p>
    <w:p>
      <w:pPr>
        <w:tabs>
          <w:tab w:val="left" w:pos="5103"/>
        </w:tabs>
        <w:jc w:val="both"/>
        <w:rPr>
          <w:rFonts w:ascii="Cambria" w:eastAsia="Arial" w:hAnsi="Cambria" w:cs="Arial"/>
          <w:sz w:val="24"/>
          <w:szCs w:val="24"/>
        </w:rPr>
      </w:pPr>
      <w:r>
        <w:rPr>
          <w:rFonts w:ascii="Cambria" w:eastAsia="Arial" w:hAnsi="Cambria" w:cs="Arial"/>
          <w:sz w:val="24"/>
          <w:szCs w:val="24"/>
        </w:rPr>
        <w:t>VIII – deixar de regularizar, no prazo definido pela administração, os documentos exigidos pela legislação para fins de liquidação e pagamento da despesa;</w:t>
      </w:r>
    </w:p>
    <w:p>
      <w:pPr>
        <w:tabs>
          <w:tab w:val="left" w:pos="5103"/>
        </w:tabs>
        <w:jc w:val="both"/>
        <w:rPr>
          <w:rFonts w:ascii="Cambria" w:eastAsia="Arial" w:hAnsi="Cambria" w:cs="Arial"/>
          <w:sz w:val="24"/>
          <w:szCs w:val="24"/>
        </w:rPr>
      </w:pPr>
      <w:r>
        <w:rPr>
          <w:rFonts w:ascii="Cambria" w:eastAsia="Arial" w:hAnsi="Cambria" w:cs="Arial"/>
          <w:sz w:val="24"/>
          <w:szCs w:val="24"/>
        </w:rPr>
        <w:t>IX – Manter funcionário sem qualificação para a execução do objeto;</w:t>
      </w:r>
    </w:p>
    <w:p>
      <w:pPr>
        <w:tabs>
          <w:tab w:val="left" w:pos="5103"/>
        </w:tabs>
        <w:jc w:val="both"/>
        <w:rPr>
          <w:rFonts w:ascii="Cambria" w:eastAsia="Arial" w:hAnsi="Cambria" w:cs="Arial"/>
          <w:sz w:val="24"/>
          <w:szCs w:val="24"/>
        </w:rPr>
      </w:pPr>
      <w:r>
        <w:rPr>
          <w:rFonts w:ascii="Cambria" w:eastAsia="Arial" w:hAnsi="Cambria" w:cs="Arial"/>
          <w:sz w:val="24"/>
          <w:szCs w:val="24"/>
        </w:rPr>
        <w:t>X – Utilizar as dependências do Contratante para fins diversos do objeto do contrato;</w:t>
      </w:r>
    </w:p>
    <w:p>
      <w:pPr>
        <w:tabs>
          <w:tab w:val="left" w:pos="5103"/>
        </w:tabs>
        <w:jc w:val="both"/>
        <w:rPr>
          <w:rFonts w:ascii="Cambria" w:eastAsia="Arial" w:hAnsi="Cambria" w:cs="Arial"/>
          <w:sz w:val="24"/>
          <w:szCs w:val="24"/>
        </w:rPr>
      </w:pPr>
      <w:r>
        <w:rPr>
          <w:rFonts w:ascii="Cambria" w:eastAsia="Arial" w:hAnsi="Cambria" w:cs="Arial"/>
          <w:sz w:val="24"/>
          <w:szCs w:val="24"/>
        </w:rPr>
        <w:t>XI – deixar de substituir empregado cujo comportamento for incompatível com o interesse público, em especial quando solicitado pela administração;</w:t>
      </w:r>
    </w:p>
    <w:p>
      <w:pPr>
        <w:tabs>
          <w:tab w:val="left" w:pos="5103"/>
        </w:tabs>
        <w:jc w:val="both"/>
        <w:rPr>
          <w:rFonts w:ascii="Cambria" w:eastAsia="Arial" w:hAnsi="Cambria" w:cs="Arial"/>
          <w:sz w:val="24"/>
          <w:szCs w:val="24"/>
        </w:rPr>
      </w:pPr>
      <w:r>
        <w:rPr>
          <w:rFonts w:ascii="Cambria" w:eastAsia="Arial" w:hAnsi="Cambria" w:cs="Arial"/>
          <w:sz w:val="24"/>
          <w:szCs w:val="24"/>
        </w:rPr>
        <w:t>XII – deixar de efetuar o pagamento de salários, vale-transporte, vale-refeição, seguros, encargos fiscais e sociais, bem como deixar de arcar com quaisquer outras despesas relacionadas à execução do contrato nas datas avençadas;</w:t>
      </w:r>
    </w:p>
    <w:p>
      <w:pPr>
        <w:tabs>
          <w:tab w:val="left" w:pos="5103"/>
        </w:tabs>
        <w:jc w:val="both"/>
        <w:rPr>
          <w:rFonts w:ascii="Cambria" w:eastAsia="Arial" w:hAnsi="Cambria" w:cs="Arial"/>
          <w:sz w:val="24"/>
          <w:szCs w:val="24"/>
        </w:rPr>
      </w:pPr>
      <w:r>
        <w:rPr>
          <w:rFonts w:ascii="Cambria" w:eastAsia="Arial" w:hAnsi="Cambria" w:cs="Arial"/>
          <w:sz w:val="24"/>
          <w:szCs w:val="24"/>
        </w:rPr>
        <w:t>XIII – deixar de apresentar, quando solicitado, documentação fiscal, trabalhista e previdenciária regularizada;</w:t>
      </w:r>
    </w:p>
    <w:p>
      <w:pPr>
        <w:tabs>
          <w:tab w:val="left" w:pos="5103"/>
        </w:tabs>
        <w:jc w:val="both"/>
        <w:rPr>
          <w:rFonts w:ascii="Cambria" w:eastAsia="Arial" w:hAnsi="Cambria" w:cs="Arial"/>
          <w:sz w:val="24"/>
          <w:szCs w:val="24"/>
        </w:rPr>
      </w:pPr>
      <w:r>
        <w:rPr>
          <w:rFonts w:ascii="Cambria" w:eastAsia="Arial" w:hAnsi="Cambria" w:cs="Arial"/>
          <w:sz w:val="24"/>
          <w:szCs w:val="24"/>
        </w:rPr>
        <w:t>XIV – deixar de regularizar os documentos fiscais no prazo concedido na hipótese de a Contratada enquadrar-se como Microempresa, Empresa de Pequeno Porte ou equiparados, nos termos da Lei Complementar Federal nº 123, de 14 de dezembro de 2006;</w:t>
      </w:r>
    </w:p>
    <w:p>
      <w:pPr>
        <w:tabs>
          <w:tab w:val="left" w:pos="5103"/>
        </w:tabs>
        <w:jc w:val="both"/>
        <w:rPr>
          <w:rFonts w:ascii="Cambria" w:eastAsia="Arial" w:hAnsi="Cambria" w:cs="Arial"/>
          <w:sz w:val="24"/>
          <w:szCs w:val="24"/>
        </w:rPr>
      </w:pPr>
      <w:r>
        <w:rPr>
          <w:rFonts w:ascii="Cambria" w:eastAsia="Arial" w:hAnsi="Cambria" w:cs="Arial"/>
          <w:sz w:val="24"/>
          <w:szCs w:val="24"/>
        </w:rPr>
        <w:t>XV – Não manter atualizado e-mail para contato, sobretudo dos prepostos, nem informar à gestão e à fiscalização do contrato, no prazo de dois dias, a alteração de endereços, sobretudo quando este ato frustrar a regular notificação de instauração de processo sancionador;</w:t>
      </w:r>
    </w:p>
    <w:p>
      <w:pPr>
        <w:tabs>
          <w:tab w:val="left" w:pos="5103"/>
        </w:tabs>
        <w:jc w:val="both"/>
        <w:rPr>
          <w:rFonts w:ascii="Cambria" w:eastAsia="Arial" w:hAnsi="Cambria" w:cs="Arial"/>
          <w:sz w:val="24"/>
          <w:szCs w:val="24"/>
        </w:rPr>
      </w:pPr>
      <w:r>
        <w:rPr>
          <w:rFonts w:ascii="Cambria" w:eastAsia="Arial" w:hAnsi="Cambria" w:cs="Arial"/>
          <w:sz w:val="24"/>
          <w:szCs w:val="24"/>
        </w:rPr>
        <w:t>XVI – subcontratar o objeto ou a execução de serviços em percentual superior ao permitido no contrato, ou de forma que configure inexistência de condições reais de prestação do serviço ou fornecimento do bem.</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sz w:val="24"/>
          <w:szCs w:val="24"/>
        </w:rPr>
      </w:pPr>
      <w:r>
        <w:rPr>
          <w:rFonts w:ascii="Cambria" w:eastAsia="Arial" w:hAnsi="Cambria" w:cs="Arial"/>
          <w:sz w:val="24"/>
          <w:szCs w:val="24"/>
        </w:rPr>
        <w:t>Nota Explicativa: É possível inserir hipóteses de multa e percentuais específicos para o fornecimento indicado, conforme detalhamento e especificidades indicadas no ETP ou TR, inclusive com periodicidade de atraso diferente do indicado no decreto (hora, quinzena etc)</w:t>
      </w:r>
    </w:p>
    <w:p>
      <w:pPr>
        <w:tabs>
          <w:tab w:val="left" w:pos="5103"/>
        </w:tabs>
        <w:jc w:val="both"/>
        <w:rPr>
          <w:rFonts w:ascii="Cambria" w:eastAsia="Arial" w:hAnsi="Cambria" w:cs="Arial"/>
          <w:sz w:val="24"/>
          <w:szCs w:val="24"/>
        </w:rPr>
      </w:pPr>
      <w:r>
        <w:rPr>
          <w:rFonts w:ascii="Cambria" w:eastAsia="Arial" w:hAnsi="Cambria" w:cs="Arial"/>
          <w:sz w:val="24"/>
          <w:szCs w:val="24"/>
        </w:rPr>
        <w:t xml:space="preserve">e) O atraso superior a 20(vinte) dias, ou a manutenção da irregularidade, autoriza a Administração a promover a rescisão do contrato por descumprimento ou cumprimento irregular de suas cláusulas, conforme dispõe o inciso I do art. 137 da Lei n. 14.133, de 2021. </w:t>
      </w:r>
    </w:p>
    <w:p>
      <w:pPr>
        <w:tabs>
          <w:tab w:val="left" w:pos="5103"/>
        </w:tabs>
        <w:jc w:val="both"/>
        <w:rPr>
          <w:rFonts w:ascii="Cambria" w:eastAsia="Arial" w:hAnsi="Cambria" w:cs="Arial"/>
          <w:sz w:val="24"/>
          <w:szCs w:val="24"/>
        </w:rPr>
      </w:pPr>
      <w:r>
        <w:rPr>
          <w:rFonts w:ascii="Cambria" w:eastAsia="Arial" w:hAnsi="Cambria" w:cs="Arial"/>
          <w:b/>
          <w:sz w:val="24"/>
          <w:szCs w:val="24"/>
        </w:rPr>
        <w:t>7.3.</w:t>
      </w:r>
      <w:r>
        <w:rPr>
          <w:rFonts w:ascii="Cambria" w:eastAsia="Arial" w:hAnsi="Cambria" w:cs="Arial"/>
          <w:sz w:val="24"/>
          <w:szCs w:val="24"/>
        </w:rPr>
        <w:t xml:space="preserve"> A aplicação das sanções previstas neste contrato não exclui, em hipótese alguma, a obrigação de reparação integral do dano causado ao Contratante.</w:t>
      </w:r>
    </w:p>
    <w:p>
      <w:pPr>
        <w:tabs>
          <w:tab w:val="left" w:pos="5103"/>
        </w:tabs>
        <w:jc w:val="both"/>
        <w:rPr>
          <w:rFonts w:ascii="Cambria" w:eastAsia="Arial" w:hAnsi="Cambria" w:cs="Arial"/>
          <w:sz w:val="24"/>
          <w:szCs w:val="24"/>
        </w:rPr>
      </w:pPr>
      <w:r>
        <w:rPr>
          <w:rFonts w:ascii="Cambria" w:eastAsia="Arial" w:hAnsi="Cambria" w:cs="Arial"/>
          <w:b/>
          <w:sz w:val="24"/>
          <w:szCs w:val="24"/>
        </w:rPr>
        <w:t>7.4.</w:t>
      </w:r>
      <w:r>
        <w:rPr>
          <w:rFonts w:ascii="Cambria" w:eastAsia="Arial" w:hAnsi="Cambria" w:cs="Arial"/>
          <w:sz w:val="24"/>
          <w:szCs w:val="24"/>
        </w:rPr>
        <w:t xml:space="preserve"> Todas as sanções previstas neste contrato poderão ser aplicadas cumulativamente com a multa </w:t>
      </w:r>
    </w:p>
    <w:p>
      <w:pPr>
        <w:tabs>
          <w:tab w:val="left" w:pos="5103"/>
        </w:tabs>
        <w:jc w:val="both"/>
        <w:rPr>
          <w:rFonts w:ascii="Cambria" w:eastAsia="Arial" w:hAnsi="Cambria" w:cs="Arial"/>
          <w:sz w:val="24"/>
          <w:szCs w:val="24"/>
        </w:rPr>
      </w:pPr>
      <w:r>
        <w:rPr>
          <w:rFonts w:ascii="Cambria" w:eastAsia="Arial" w:hAnsi="Cambria" w:cs="Arial"/>
          <w:b/>
          <w:sz w:val="24"/>
          <w:szCs w:val="24"/>
        </w:rPr>
        <w:lastRenderedPageBreak/>
        <w:t>7.4.1.</w:t>
      </w:r>
      <w:r>
        <w:rPr>
          <w:rFonts w:ascii="Cambria" w:eastAsia="Arial" w:hAnsi="Cambria" w:cs="Arial"/>
          <w:sz w:val="24"/>
          <w:szCs w:val="24"/>
        </w:rPr>
        <w:t xml:space="preserve"> Se a multa aplicada e as indenizações cabíveis forem superiores ao valor do pagamento eventualmente devido pelo Contratante à Contratada, além da perda desse valor, a diferença será descontada da garantia prestada ou será cobrada judicialmente </w:t>
      </w:r>
    </w:p>
    <w:p>
      <w:pPr>
        <w:tabs>
          <w:tab w:val="left" w:pos="5103"/>
        </w:tabs>
        <w:jc w:val="both"/>
        <w:rPr>
          <w:rFonts w:ascii="Cambria" w:eastAsia="Arial" w:hAnsi="Cambria" w:cs="Arial"/>
          <w:sz w:val="24"/>
          <w:szCs w:val="24"/>
        </w:rPr>
      </w:pPr>
      <w:r>
        <w:rPr>
          <w:rFonts w:ascii="Cambria" w:eastAsia="Arial" w:hAnsi="Cambria" w:cs="Arial"/>
          <w:b/>
          <w:sz w:val="24"/>
          <w:szCs w:val="24"/>
        </w:rPr>
        <w:t>7.4.2.</w:t>
      </w:r>
      <w:r>
        <w:rPr>
          <w:rFonts w:ascii="Cambria" w:eastAsia="Arial" w:hAnsi="Cambria" w:cs="Arial"/>
          <w:sz w:val="24"/>
          <w:szCs w:val="24"/>
        </w:rPr>
        <w:t xml:space="preserve"> Previamente ao encaminhamento à cobrança judicial, a multa poderá ser recolhida administrativamente no prazo máximo de 05 (cinco) dias, a contar da data do recebimento da comunicação enviada pela autoridade competente.</w:t>
      </w:r>
    </w:p>
    <w:p>
      <w:pPr>
        <w:tabs>
          <w:tab w:val="left" w:pos="5103"/>
        </w:tabs>
        <w:jc w:val="both"/>
        <w:rPr>
          <w:rFonts w:ascii="Cambria" w:eastAsia="Arial" w:hAnsi="Cambria" w:cs="Arial"/>
          <w:sz w:val="24"/>
          <w:szCs w:val="24"/>
        </w:rPr>
      </w:pPr>
      <w:r>
        <w:rPr>
          <w:rFonts w:ascii="Cambria" w:eastAsia="Arial" w:hAnsi="Cambria" w:cs="Arial"/>
          <w:b/>
          <w:sz w:val="24"/>
          <w:szCs w:val="24"/>
        </w:rPr>
        <w:t>7.5.</w:t>
      </w:r>
      <w:r>
        <w:rPr>
          <w:rFonts w:ascii="Cambria" w:eastAsia="Arial" w:hAnsi="Cambria" w:cs="Arial"/>
          <w:sz w:val="24"/>
          <w:szCs w:val="24"/>
        </w:rPr>
        <w:t xml:space="preserve"> A aplicação das sanções realizar-se-á em processo administrativo que assegure o contraditório e a ampla defesa à Contratada, observando-se o procedimento previsto no caput e parágrafos do art. 158 da Lei nº 14.133, de 2021, para as penalidades de impedimento de licitar e contratar e de declaração de inidoneidade para licitar ou contratar.</w:t>
      </w:r>
    </w:p>
    <w:p>
      <w:pPr>
        <w:tabs>
          <w:tab w:val="left" w:pos="5103"/>
        </w:tabs>
        <w:jc w:val="both"/>
        <w:rPr>
          <w:rFonts w:ascii="Cambria" w:eastAsia="Arial" w:hAnsi="Cambria" w:cs="Arial"/>
          <w:sz w:val="24"/>
          <w:szCs w:val="24"/>
        </w:rPr>
      </w:pPr>
      <w:r>
        <w:rPr>
          <w:rFonts w:ascii="Cambria" w:eastAsia="Arial" w:hAnsi="Cambria" w:cs="Arial"/>
          <w:b/>
          <w:sz w:val="24"/>
          <w:szCs w:val="24"/>
        </w:rPr>
        <w:t>7.6.</w:t>
      </w:r>
      <w:r>
        <w:rPr>
          <w:rFonts w:ascii="Cambria" w:eastAsia="Arial" w:hAnsi="Cambria" w:cs="Arial"/>
          <w:sz w:val="24"/>
          <w:szCs w:val="24"/>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tabs>
          <w:tab w:val="left" w:pos="5103"/>
        </w:tabs>
        <w:jc w:val="both"/>
        <w:rPr>
          <w:rFonts w:ascii="Cambria" w:eastAsia="Arial" w:hAnsi="Cambria" w:cs="Arial"/>
          <w:sz w:val="24"/>
          <w:szCs w:val="24"/>
        </w:rPr>
      </w:pPr>
      <w:r>
        <w:rPr>
          <w:rFonts w:ascii="Cambria" w:eastAsia="Arial" w:hAnsi="Cambria" w:cs="Arial"/>
          <w:b/>
          <w:sz w:val="24"/>
          <w:szCs w:val="24"/>
        </w:rPr>
        <w:t>7.7.</w:t>
      </w:r>
      <w:r>
        <w:rPr>
          <w:rFonts w:ascii="Cambria" w:eastAsia="Arial" w:hAnsi="Cambria" w:cs="Arial"/>
          <w:sz w:val="24"/>
          <w:szCs w:val="24"/>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p>
    <w:p>
      <w:pPr>
        <w:tabs>
          <w:tab w:val="left" w:pos="5103"/>
        </w:tabs>
        <w:jc w:val="both"/>
        <w:rPr>
          <w:rFonts w:ascii="Cambria" w:eastAsia="Arial" w:hAnsi="Cambria" w:cs="Arial"/>
          <w:sz w:val="24"/>
          <w:szCs w:val="24"/>
        </w:rPr>
      </w:pPr>
      <w:r>
        <w:rPr>
          <w:rFonts w:ascii="Cambria" w:eastAsia="Arial" w:hAnsi="Cambria" w:cs="Arial"/>
          <w:b/>
          <w:sz w:val="24"/>
          <w:szCs w:val="24"/>
        </w:rPr>
        <w:t>7.8.</w:t>
      </w:r>
      <w:r>
        <w:rPr>
          <w:rFonts w:ascii="Cambria" w:eastAsia="Arial" w:hAnsi="Cambria" w:cs="Arial"/>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tabs>
          <w:tab w:val="left" w:pos="5103"/>
        </w:tabs>
        <w:jc w:val="both"/>
        <w:rPr>
          <w:rFonts w:ascii="Cambria" w:hAnsi="Cambria"/>
          <w:sz w:val="24"/>
          <w:szCs w:val="24"/>
          <w:lang w:eastAsia="ar-SA"/>
        </w:rPr>
      </w:pPr>
      <w:r>
        <w:rPr>
          <w:rFonts w:ascii="Cambria" w:hAnsi="Cambria"/>
          <w:b/>
          <w:bCs/>
          <w:sz w:val="24"/>
          <w:szCs w:val="24"/>
        </w:rPr>
        <w:t>7.9.</w:t>
      </w:r>
      <w:r>
        <w:rPr>
          <w:rFonts w:ascii="Cambria" w:hAnsi="Cambria"/>
          <w:sz w:val="24"/>
          <w:szCs w:val="24"/>
        </w:rPr>
        <w:t xml:space="preserve"> As sanções de impedimento de licitar e contratar e de declaração de inidoneidade para licitar ou contratar são passíveis de reabilitação, na forma do art. 83 da Lei nº 14.133/2021.</w:t>
      </w:r>
    </w:p>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OITAVA - DA EXTINÇÃO CONTRATUAL</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8.1.</w:t>
      </w:r>
      <w:r>
        <w:rPr>
          <w:rFonts w:ascii="Cambria" w:eastAsia="Arial" w:hAnsi="Cambria" w:cs="Arial"/>
          <w:sz w:val="24"/>
          <w:szCs w:val="24"/>
        </w:rPr>
        <w:t>O contrato pode ser extinto antes de cumpridas as obrigações nele estipuladas, ou antes do prazo nele fixado, por algum dos motivos previstos no artigo 137 da Lei nº 14.111/2021, bem como amigavelmente, assegurados o contraditório e a ampla defesa.</w:t>
      </w:r>
    </w:p>
    <w:p>
      <w:pPr>
        <w:tabs>
          <w:tab w:val="left" w:pos="5103"/>
        </w:tabs>
        <w:jc w:val="both"/>
        <w:rPr>
          <w:rFonts w:ascii="Cambria" w:eastAsia="Arial" w:hAnsi="Cambria" w:cs="Arial"/>
          <w:sz w:val="24"/>
          <w:szCs w:val="24"/>
        </w:rPr>
      </w:pPr>
      <w:r>
        <w:rPr>
          <w:rFonts w:ascii="Cambria" w:eastAsia="Arial" w:hAnsi="Cambria" w:cs="Arial"/>
          <w:b/>
          <w:sz w:val="24"/>
          <w:szCs w:val="24"/>
        </w:rPr>
        <w:t>8.1.1.</w:t>
      </w:r>
      <w:r>
        <w:rPr>
          <w:rFonts w:ascii="Cambria" w:eastAsia="Arial" w:hAnsi="Cambria" w:cs="Arial"/>
          <w:sz w:val="24"/>
          <w:szCs w:val="24"/>
        </w:rPr>
        <w:t xml:space="preserve"> Nesta hipótese, aplicam-se também os artigos 138 e 139 da mesma Lei.</w:t>
      </w:r>
    </w:p>
    <w:p>
      <w:pPr>
        <w:tabs>
          <w:tab w:val="left" w:pos="5103"/>
        </w:tabs>
        <w:jc w:val="both"/>
        <w:rPr>
          <w:rFonts w:ascii="Cambria" w:eastAsia="Arial" w:hAnsi="Cambria" w:cs="Arial"/>
          <w:sz w:val="24"/>
          <w:szCs w:val="24"/>
        </w:rPr>
      </w:pPr>
      <w:r>
        <w:rPr>
          <w:rFonts w:ascii="Cambria" w:eastAsia="Arial" w:hAnsi="Cambria" w:cs="Arial"/>
          <w:b/>
          <w:sz w:val="24"/>
          <w:szCs w:val="24"/>
        </w:rPr>
        <w:t>8.1.2.</w:t>
      </w:r>
      <w:r>
        <w:rPr>
          <w:rFonts w:ascii="Cambria" w:eastAsia="Arial" w:hAnsi="Cambria" w:cs="Arial"/>
          <w:sz w:val="24"/>
          <w:szCs w:val="24"/>
        </w:rPr>
        <w:t xml:space="preserve"> A alteração social ou modificação da finalidade ou da estrutura da empresa não ensejará rescisão se não restringir sua capacidade de concluir o contrato.</w:t>
      </w:r>
    </w:p>
    <w:p>
      <w:pPr>
        <w:tabs>
          <w:tab w:val="left" w:pos="5103"/>
        </w:tabs>
        <w:jc w:val="both"/>
        <w:rPr>
          <w:rFonts w:ascii="Cambria" w:eastAsia="Arial" w:hAnsi="Cambria" w:cs="Arial"/>
          <w:sz w:val="24"/>
          <w:szCs w:val="24"/>
        </w:rPr>
      </w:pPr>
      <w:r>
        <w:rPr>
          <w:rFonts w:ascii="Cambria" w:eastAsia="Arial" w:hAnsi="Cambria" w:cs="Arial"/>
          <w:b/>
          <w:sz w:val="24"/>
          <w:szCs w:val="24"/>
        </w:rPr>
        <w:t>8.1.2.1.</w:t>
      </w:r>
      <w:r>
        <w:rPr>
          <w:rFonts w:ascii="Cambria" w:eastAsia="Arial" w:hAnsi="Cambria" w:cs="Arial"/>
          <w:sz w:val="24"/>
          <w:szCs w:val="24"/>
        </w:rPr>
        <w:t xml:space="preserve"> Se a operação implicar mudança da pessoa jurídica contratada, deverá ser formalizado termo aditivo para alteração subjetiva.</w:t>
      </w:r>
    </w:p>
    <w:p>
      <w:pPr>
        <w:tabs>
          <w:tab w:val="left" w:pos="5103"/>
        </w:tabs>
        <w:jc w:val="both"/>
        <w:rPr>
          <w:rFonts w:ascii="Cambria" w:eastAsia="Arial" w:hAnsi="Cambria" w:cs="Arial"/>
          <w:sz w:val="24"/>
          <w:szCs w:val="24"/>
        </w:rPr>
      </w:pPr>
      <w:r>
        <w:rPr>
          <w:rFonts w:ascii="Cambria" w:eastAsia="Arial" w:hAnsi="Cambria" w:cs="Arial"/>
          <w:b/>
          <w:sz w:val="24"/>
          <w:szCs w:val="24"/>
        </w:rPr>
        <w:t>8.2.</w:t>
      </w:r>
      <w:r>
        <w:rPr>
          <w:rFonts w:ascii="Cambria" w:eastAsia="Arial" w:hAnsi="Cambria" w:cs="Arial"/>
          <w:sz w:val="24"/>
          <w:szCs w:val="24"/>
        </w:rPr>
        <w:t xml:space="preserve"> O termo de rescisão, sempre que possível, será precedido:</w:t>
      </w:r>
    </w:p>
    <w:p>
      <w:pPr>
        <w:tabs>
          <w:tab w:val="left" w:pos="5103"/>
        </w:tabs>
        <w:jc w:val="both"/>
        <w:rPr>
          <w:rFonts w:ascii="Cambria" w:eastAsia="Arial" w:hAnsi="Cambria" w:cs="Arial"/>
          <w:sz w:val="24"/>
          <w:szCs w:val="24"/>
        </w:rPr>
      </w:pPr>
      <w:r>
        <w:rPr>
          <w:rFonts w:ascii="Cambria" w:eastAsia="Arial" w:hAnsi="Cambria" w:cs="Arial"/>
          <w:b/>
          <w:sz w:val="24"/>
          <w:szCs w:val="24"/>
        </w:rPr>
        <w:t>8.2.1.</w:t>
      </w:r>
      <w:r>
        <w:rPr>
          <w:rFonts w:ascii="Cambria" w:eastAsia="Arial" w:hAnsi="Cambria" w:cs="Arial"/>
          <w:sz w:val="24"/>
          <w:szCs w:val="24"/>
        </w:rPr>
        <w:t xml:space="preserve"> Balanço dos eventos contratuais já cumpridos ou parcialmente cumpridos;</w:t>
      </w:r>
    </w:p>
    <w:p>
      <w:pPr>
        <w:tabs>
          <w:tab w:val="left" w:pos="5103"/>
        </w:tabs>
        <w:jc w:val="both"/>
        <w:rPr>
          <w:rFonts w:ascii="Cambria" w:eastAsia="Arial" w:hAnsi="Cambria" w:cs="Arial"/>
          <w:sz w:val="24"/>
          <w:szCs w:val="24"/>
        </w:rPr>
      </w:pPr>
      <w:r>
        <w:rPr>
          <w:rFonts w:ascii="Cambria" w:eastAsia="Arial" w:hAnsi="Cambria" w:cs="Arial"/>
          <w:b/>
          <w:sz w:val="24"/>
          <w:szCs w:val="24"/>
        </w:rPr>
        <w:t>8.2.2.</w:t>
      </w:r>
      <w:r>
        <w:rPr>
          <w:rFonts w:ascii="Cambria" w:eastAsia="Arial" w:hAnsi="Cambria" w:cs="Arial"/>
          <w:sz w:val="24"/>
          <w:szCs w:val="24"/>
        </w:rPr>
        <w:t xml:space="preserve"> Relação dos pagamentos já efetuados e ainda devidos;</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sz w:val="24"/>
          <w:szCs w:val="24"/>
        </w:rPr>
      </w:pPr>
      <w:r>
        <w:rPr>
          <w:rFonts w:ascii="Cambria" w:eastAsia="Arial" w:hAnsi="Cambria" w:cs="Arial"/>
          <w:b/>
          <w:sz w:val="24"/>
          <w:szCs w:val="24"/>
        </w:rPr>
        <w:t>8.2.3.</w:t>
      </w:r>
      <w:r>
        <w:rPr>
          <w:rFonts w:ascii="Cambria" w:eastAsia="Arial" w:hAnsi="Cambria" w:cs="Arial"/>
          <w:sz w:val="24"/>
          <w:szCs w:val="24"/>
        </w:rPr>
        <w:t xml:space="preserve"> Indenizações e multas.</w:t>
      </w:r>
    </w:p>
    <w:p>
      <w:pPr>
        <w:tabs>
          <w:tab w:val="left" w:pos="5103"/>
        </w:tabs>
        <w:jc w:val="both"/>
        <w:rPr>
          <w:rFonts w:ascii="Cambria" w:eastAsia="Arial" w:hAnsi="Cambria" w:cs="Arial"/>
          <w:sz w:val="24"/>
          <w:szCs w:val="24"/>
        </w:rPr>
      </w:pPr>
      <w:r>
        <w:rPr>
          <w:rFonts w:ascii="Cambria" w:eastAsia="Arial" w:hAnsi="Cambria" w:cs="Arial"/>
          <w:b/>
          <w:sz w:val="24"/>
          <w:szCs w:val="24"/>
        </w:rPr>
        <w:t>8.3.</w:t>
      </w:r>
      <w:r>
        <w:rPr>
          <w:rFonts w:ascii="Cambria" w:eastAsia="Arial" w:hAnsi="Cambria" w:cs="Arial"/>
          <w:sz w:val="24"/>
          <w:szCs w:val="24"/>
        </w:rPr>
        <w:t xml:space="preserve"> A extinção do contrato não configura óbice para o reconhecimento do desequilíbrio econômico-financeiro, hipótese em que será concedida indenização por meio de termo indenizatório, obedecidas as condicionantes legais.</w:t>
      </w:r>
    </w:p>
    <w:p>
      <w:pPr>
        <w:tabs>
          <w:tab w:val="left" w:pos="5103"/>
        </w:tabs>
        <w:jc w:val="both"/>
        <w:rPr>
          <w:rFonts w:ascii="Cambria" w:eastAsia="Arial" w:hAnsi="Cambria" w:cs="Arial"/>
          <w:sz w:val="24"/>
          <w:szCs w:val="24"/>
        </w:rPr>
      </w:pPr>
      <w:r>
        <w:rPr>
          <w:rFonts w:ascii="Cambria" w:eastAsia="Arial" w:hAnsi="Cambria" w:cs="Arial"/>
          <w:b/>
          <w:sz w:val="24"/>
          <w:szCs w:val="24"/>
        </w:rPr>
        <w:lastRenderedPageBreak/>
        <w:t>8.4.</w:t>
      </w:r>
      <w:r>
        <w:rPr>
          <w:rFonts w:ascii="Cambria" w:eastAsia="Arial" w:hAnsi="Cambria" w:cs="Arial"/>
          <w:sz w:val="24"/>
          <w:szCs w:val="24"/>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NONA - DAS DISPOSIÇÕES FINAIS</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9.1.</w:t>
      </w:r>
      <w:r>
        <w:rPr>
          <w:rFonts w:ascii="Cambria" w:eastAsia="Arial" w:hAnsi="Cambria" w:cs="Arial"/>
          <w:sz w:val="24"/>
          <w:szCs w:val="24"/>
        </w:rPr>
        <w:t xml:space="preserve"> O CONTRATADO se obriga a manter, durante toda a execução do contrato, em compatibilidade com as obrigações por ele assumidas, todas as condições de habilitação e qualificação exigidas na licitação.</w:t>
      </w:r>
    </w:p>
    <w:p>
      <w:pPr>
        <w:tabs>
          <w:tab w:val="left" w:pos="5103"/>
        </w:tabs>
        <w:jc w:val="both"/>
        <w:rPr>
          <w:rFonts w:ascii="Cambria" w:eastAsia="Arial" w:hAnsi="Cambria" w:cs="Arial"/>
          <w:sz w:val="24"/>
          <w:szCs w:val="24"/>
        </w:rPr>
      </w:pPr>
      <w:r>
        <w:rPr>
          <w:rFonts w:ascii="Cambria" w:eastAsia="Arial" w:hAnsi="Cambria" w:cs="Arial"/>
          <w:b/>
          <w:sz w:val="24"/>
          <w:szCs w:val="24"/>
        </w:rPr>
        <w:t>9.2.</w:t>
      </w:r>
      <w:r>
        <w:rPr>
          <w:rFonts w:ascii="Cambria" w:eastAsia="Arial" w:hAnsi="Cambria" w:cs="Arial"/>
          <w:sz w:val="24"/>
          <w:szCs w:val="24"/>
        </w:rPr>
        <w:t xml:space="preserve"> O presente contrato tem seus termos e sua execução vinculada ao edital de licitação e à proposta licitatória. </w:t>
      </w:r>
    </w:p>
    <w:p>
      <w:pPr>
        <w:tabs>
          <w:tab w:val="left" w:pos="5103"/>
        </w:tabs>
        <w:jc w:val="both"/>
        <w:rPr>
          <w:rFonts w:ascii="Cambria" w:eastAsia="Arial" w:hAnsi="Cambria" w:cs="Arial"/>
          <w:sz w:val="24"/>
          <w:szCs w:val="24"/>
        </w:rPr>
      </w:pPr>
      <w:r>
        <w:rPr>
          <w:rFonts w:ascii="Cambria" w:eastAsia="Arial" w:hAnsi="Cambria" w:cs="Arial"/>
          <w:b/>
          <w:sz w:val="24"/>
          <w:szCs w:val="24"/>
        </w:rPr>
        <w:t>9.3.</w:t>
      </w:r>
      <w:r>
        <w:rPr>
          <w:rFonts w:ascii="Cambria" w:eastAsia="Arial" w:hAnsi="Cambria" w:cs="Arial"/>
          <w:sz w:val="24"/>
          <w:szCs w:val="24"/>
        </w:rPr>
        <w:t xml:space="preserve"> O CONTRATANTE se reserva o direito de fazer uso de qualquer das prerrogativas dispostas no artigo 104 da Lei nº 14.133/2021 de 1º de abril de 2021, alterada e consolidada.</w:t>
      </w:r>
    </w:p>
    <w:p>
      <w:pPr>
        <w:tabs>
          <w:tab w:val="left" w:pos="5103"/>
        </w:tabs>
        <w:jc w:val="both"/>
        <w:rPr>
          <w:rFonts w:ascii="Cambria" w:eastAsia="Arial" w:hAnsi="Cambria" w:cs="Arial"/>
          <w:sz w:val="24"/>
          <w:szCs w:val="24"/>
        </w:rPr>
      </w:pPr>
      <w:r>
        <w:rPr>
          <w:rFonts w:ascii="Cambria" w:eastAsia="Arial" w:hAnsi="Cambria" w:cs="Arial"/>
          <w:b/>
          <w:sz w:val="24"/>
          <w:szCs w:val="24"/>
        </w:rPr>
        <w:t>9.4.</w:t>
      </w:r>
      <w:r>
        <w:rPr>
          <w:rFonts w:ascii="Cambria" w:eastAsia="Arial" w:hAnsi="Cambria" w:cs="Arial"/>
          <w:sz w:val="24"/>
          <w:szCs w:val="24"/>
        </w:rPr>
        <w:t xml:space="preserve"> O presente contrato poderá ser alterado unilateralmente pela Administração ou por acordo das partes, com as devidas justificativas, nos casos previstos na Lei.</w:t>
      </w:r>
    </w:p>
    <w:p>
      <w:pPr>
        <w:tabs>
          <w:tab w:val="left" w:pos="5103"/>
        </w:tabs>
        <w:jc w:val="both"/>
        <w:rPr>
          <w:rFonts w:ascii="Cambria" w:eastAsia="Arial" w:hAnsi="Cambria" w:cs="Arial"/>
          <w:sz w:val="24"/>
          <w:szCs w:val="24"/>
        </w:rPr>
      </w:pPr>
      <w:r>
        <w:rPr>
          <w:rFonts w:ascii="Cambria" w:eastAsia="Arial" w:hAnsi="Cambria" w:cs="Arial"/>
          <w:b/>
          <w:sz w:val="24"/>
          <w:szCs w:val="24"/>
        </w:rPr>
        <w:t>9.5.</w:t>
      </w:r>
      <w:r>
        <w:rPr>
          <w:rFonts w:ascii="Cambria" w:eastAsia="Arial" w:hAnsi="Cambria" w:cs="Arial"/>
          <w:sz w:val="24"/>
          <w:szCs w:val="24"/>
        </w:rPr>
        <w:t xml:space="preserve"> A inadimplência do contratado com referência aos encargos trabalhistas, fiscais e comerciais não transfere ao CONTRATANTE a responsabilidade por seu pagamento, nem poderá onerar o objeto do contrato ou restringir a regularização e o uso dos serviços pela Administração.</w:t>
      </w:r>
    </w:p>
    <w:p>
      <w:pPr>
        <w:tabs>
          <w:tab w:val="left" w:pos="5103"/>
        </w:tabs>
        <w:jc w:val="both"/>
        <w:rPr>
          <w:rFonts w:ascii="Cambria" w:eastAsia="Arial" w:hAnsi="Cambria" w:cs="Arial"/>
          <w:sz w:val="24"/>
          <w:szCs w:val="24"/>
        </w:rPr>
      </w:pPr>
      <w:r>
        <w:rPr>
          <w:rFonts w:ascii="Cambria" w:eastAsia="Arial" w:hAnsi="Cambria" w:cs="Arial"/>
          <w:b/>
          <w:sz w:val="24"/>
          <w:szCs w:val="24"/>
        </w:rPr>
        <w:t>9.6.</w:t>
      </w:r>
      <w:r>
        <w:rPr>
          <w:rFonts w:ascii="Cambria" w:eastAsia="Arial" w:hAnsi="Cambria" w:cs="Arial"/>
          <w:sz w:val="24"/>
          <w:szCs w:val="24"/>
        </w:rPr>
        <w:t xml:space="preserve"> O contratado, na execução do contrato, sem prejuízo das responsabilidades contratuais e legais, não poderá subcontratar partes do contrato sem a expressa autorização da Administração.</w:t>
      </w:r>
    </w:p>
    <w:p>
      <w:pPr>
        <w:tabs>
          <w:tab w:val="left" w:pos="5103"/>
        </w:tabs>
        <w:jc w:val="both"/>
        <w:rPr>
          <w:rFonts w:ascii="Cambria" w:eastAsia="Arial" w:hAnsi="Cambria" w:cs="Arial"/>
          <w:sz w:val="24"/>
          <w:szCs w:val="24"/>
        </w:rPr>
      </w:pPr>
      <w:r>
        <w:rPr>
          <w:rFonts w:ascii="Cambria" w:eastAsia="Arial" w:hAnsi="Cambria" w:cs="Arial"/>
          <w:b/>
          <w:sz w:val="24"/>
          <w:szCs w:val="24"/>
        </w:rPr>
        <w:t>9.7.</w:t>
      </w:r>
      <w:r>
        <w:rPr>
          <w:rFonts w:ascii="Cambria" w:eastAsia="Arial" w:hAnsi="Cambria" w:cs="Arial"/>
          <w:sz w:val="24"/>
          <w:szCs w:val="24"/>
        </w:rPr>
        <w:t xml:space="preserve"> A Administração rejeitará, no todo ou em parte, os bens fornecidos em desacordo com os termos do Processo Licitatório, da proposta e deste contrato.</w:t>
      </w:r>
    </w:p>
    <w:p>
      <w:pPr>
        <w:tabs>
          <w:tab w:val="left" w:pos="5103"/>
        </w:tabs>
        <w:jc w:val="both"/>
        <w:rPr>
          <w:rFonts w:ascii="Cambria" w:eastAsia="Arial" w:hAnsi="Cambria" w:cs="Arial"/>
          <w:sz w:val="24"/>
          <w:szCs w:val="24"/>
        </w:rPr>
      </w:pPr>
      <w:r>
        <w:rPr>
          <w:rFonts w:ascii="Cambria" w:eastAsia="Arial" w:hAnsi="Cambria" w:cs="Arial"/>
          <w:b/>
          <w:sz w:val="24"/>
          <w:szCs w:val="24"/>
        </w:rPr>
        <w:t>9.8.</w:t>
      </w:r>
      <w:r>
        <w:rPr>
          <w:rFonts w:ascii="Cambria" w:eastAsia="Arial" w:hAnsi="Cambria" w:cs="Arial"/>
          <w:sz w:val="24"/>
          <w:szCs w:val="24"/>
        </w:rPr>
        <w:t xml:space="preserve"> Integram o presente contrato, independente de transcrição, todas as peças que formam o procedimento licitatório e a proposta adjudicada.</w:t>
      </w:r>
    </w:p>
    <w:p>
      <w:pPr>
        <w:tabs>
          <w:tab w:val="left" w:pos="5103"/>
        </w:tabs>
        <w:jc w:val="both"/>
        <w:rPr>
          <w:rFonts w:ascii="Cambria" w:eastAsia="Arial" w:hAnsi="Cambria" w:cs="Arial"/>
          <w:sz w:val="24"/>
          <w:szCs w:val="24"/>
        </w:rPr>
      </w:pPr>
      <w:r>
        <w:rPr>
          <w:rFonts w:ascii="Cambria" w:eastAsia="Arial" w:hAnsi="Cambria" w:cs="Arial"/>
          <w:b/>
          <w:sz w:val="24"/>
          <w:szCs w:val="24"/>
        </w:rPr>
        <w:t>9.9.</w:t>
      </w:r>
      <w:r>
        <w:rPr>
          <w:rFonts w:ascii="Cambria" w:eastAsia="Arial" w:hAnsi="Cambria" w:cs="Arial"/>
          <w:sz w:val="24"/>
          <w:szCs w:val="24"/>
        </w:rPr>
        <w:t xml:space="preserve"> A Contratada, na vigência do Contrato, será a única responsável perante terceiros pelos atos praticados por seu pessoal, eximida a Contratante de quaisquer reclamações e indenizações.</w:t>
      </w:r>
    </w:p>
    <w:p>
      <w:pPr>
        <w:tabs>
          <w:tab w:val="left" w:pos="5103"/>
        </w:tabs>
        <w:jc w:val="both"/>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CLÁUSULA DÉCIMA - DO FORO</w:t>
      </w:r>
    </w:p>
    <w:p>
      <w:pPr>
        <w:tabs>
          <w:tab w:val="left" w:pos="5103"/>
        </w:tabs>
        <w:ind w:left="-1134" w:right="-1134"/>
        <w:rPr>
          <w:rFonts w:ascii="Cambria" w:eastAsia="Arial" w:hAnsi="Cambria" w:cs="Arial"/>
          <w:sz w:val="24"/>
          <w:szCs w:val="24"/>
        </w:rPr>
      </w:pPr>
      <w:r>
        <w:rPr>
          <w:rFonts w:ascii="Cambria" w:eastAsia="Arial" w:hAnsi="Cambria" w:cs="Arial"/>
          <w:noProof/>
          <w:sz w:val="24"/>
          <w:szCs w:val="24"/>
        </w:rPr>
        <w:drawing>
          <wp:inline distT="0" distB="0" distL="0" distR="0">
            <wp:extent cx="6448425" cy="85725"/>
            <wp:effectExtent l="0" t="0" r="0" b="0"/>
            <wp:docPr id="17645733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448425" cy="85725"/>
                    </a:xfrm>
                    <a:prstGeom prst="rect">
                      <a:avLst/>
                    </a:prstGeom>
                    <a:ln/>
                  </pic:spPr>
                </pic:pic>
              </a:graphicData>
            </a:graphic>
          </wp:inline>
        </w:drawing>
      </w:r>
    </w:p>
    <w:p>
      <w:pPr>
        <w:tabs>
          <w:tab w:val="left" w:pos="5103"/>
        </w:tabs>
        <w:jc w:val="both"/>
        <w:rPr>
          <w:rFonts w:ascii="Cambria" w:eastAsia="Arial" w:hAnsi="Cambria" w:cs="Arial"/>
          <w:sz w:val="24"/>
          <w:szCs w:val="24"/>
        </w:rPr>
      </w:pPr>
      <w:r>
        <w:rPr>
          <w:rFonts w:ascii="Cambria" w:eastAsia="Arial" w:hAnsi="Cambria" w:cs="Arial"/>
          <w:b/>
          <w:sz w:val="24"/>
          <w:szCs w:val="24"/>
        </w:rPr>
        <w:t>10.1.</w:t>
      </w:r>
      <w:r>
        <w:rPr>
          <w:rFonts w:ascii="Cambria" w:eastAsia="Arial" w:hAnsi="Cambria" w:cs="Arial"/>
          <w:sz w:val="24"/>
          <w:szCs w:val="24"/>
        </w:rPr>
        <w:t xml:space="preserve"> O foro da Comarca de Miraíma/CE é o competente para dirimir questões decorrentes da execução deste Contrato, em obediência ao disposto no § 1º do artigo 99 da Lei 14.133/2021 de 1º de abril de 2021, alterada e consolidada.</w:t>
      </w:r>
    </w:p>
    <w:p>
      <w:pPr>
        <w:tabs>
          <w:tab w:val="left" w:pos="5103"/>
        </w:tabs>
        <w:jc w:val="both"/>
        <w:rPr>
          <w:rFonts w:ascii="Cambria" w:eastAsia="Arial" w:hAnsi="Cambria" w:cs="Arial"/>
          <w:sz w:val="24"/>
          <w:szCs w:val="24"/>
        </w:rPr>
      </w:pPr>
    </w:p>
    <w:p>
      <w:pPr>
        <w:tabs>
          <w:tab w:val="left" w:pos="5103"/>
        </w:tabs>
        <w:jc w:val="both"/>
        <w:rPr>
          <w:rFonts w:ascii="Cambria" w:eastAsia="Arial" w:hAnsi="Cambria" w:cs="Arial"/>
          <w:sz w:val="24"/>
          <w:szCs w:val="24"/>
        </w:rPr>
      </w:pPr>
      <w:r>
        <w:rPr>
          <w:rFonts w:ascii="Cambria" w:eastAsia="Arial" w:hAnsi="Cambria" w:cs="Arial"/>
          <w:sz w:val="24"/>
          <w:szCs w:val="24"/>
        </w:rPr>
        <w:t>Assim pactuadas, as partes firmam o presente Instrumento, lavrado na Prefeitura Municipal de Miraíma/CE, perante testemunhas que também o assinam, para que produza os seus jurídicos e legais efeitos.</w:t>
      </w:r>
    </w:p>
    <w:p>
      <w:pPr>
        <w:tabs>
          <w:tab w:val="left" w:pos="5103"/>
        </w:tabs>
        <w:jc w:val="right"/>
        <w:rPr>
          <w:rFonts w:ascii="Cambria" w:eastAsia="Arial" w:hAnsi="Cambria" w:cs="Arial"/>
          <w:sz w:val="24"/>
          <w:szCs w:val="24"/>
          <w:lang w:val="fr-FR"/>
        </w:rPr>
      </w:pPr>
      <w:r>
        <w:rPr>
          <w:rFonts w:ascii="Cambria" w:eastAsia="Arial" w:hAnsi="Cambria" w:cs="Arial"/>
          <w:sz w:val="24"/>
          <w:szCs w:val="24"/>
          <w:lang w:val="fr-FR"/>
        </w:rPr>
        <w:t>Miraíma/CE - CE, ____ de __________ de ______.</w:t>
      </w:r>
    </w:p>
    <w:p>
      <w:pPr>
        <w:tabs>
          <w:tab w:val="left" w:pos="5103"/>
        </w:tabs>
        <w:jc w:val="right"/>
        <w:rPr>
          <w:rFonts w:ascii="Cambria" w:eastAsia="Arial" w:hAnsi="Cambria" w:cs="Arial"/>
          <w:sz w:val="24"/>
          <w:szCs w:val="24"/>
          <w:lang w:val="fr-FR"/>
        </w:rPr>
      </w:pPr>
    </w:p>
    <w:p>
      <w:pPr>
        <w:tabs>
          <w:tab w:val="left" w:pos="5103"/>
        </w:tabs>
        <w:jc w:val="right"/>
        <w:rPr>
          <w:rFonts w:ascii="Cambria" w:eastAsia="Arial" w:hAnsi="Cambria" w:cs="Arial"/>
          <w:sz w:val="24"/>
          <w:szCs w:val="24"/>
          <w:lang w:val="fr-FR"/>
        </w:rPr>
      </w:pPr>
    </w:p>
    <w:p>
      <w:pPr>
        <w:tabs>
          <w:tab w:val="left" w:pos="5103"/>
        </w:tabs>
        <w:rPr>
          <w:rFonts w:ascii="Cambria" w:eastAsia="Arial" w:hAnsi="Cambria" w:cs="Arial"/>
          <w:sz w:val="24"/>
          <w:szCs w:val="24"/>
        </w:rPr>
      </w:pPr>
    </w:p>
    <w:tbl>
      <w:tblPr>
        <w:tblW w:w="9606" w:type="dxa"/>
        <w:jc w:val="center"/>
        <w:tblLayout w:type="fixed"/>
        <w:tblLook w:val="0400" w:firstRow="0" w:lastRow="0" w:firstColumn="0" w:lastColumn="0" w:noHBand="0" w:noVBand="1"/>
      </w:tblPr>
      <w:tblGrid>
        <w:gridCol w:w="4361"/>
        <w:gridCol w:w="5245"/>
      </w:tblGrid>
      <w:tr>
        <w:trPr>
          <w:jc w:val="center"/>
        </w:trPr>
        <w:tc>
          <w:tcPr>
            <w:tcW w:w="4361" w:type="dxa"/>
          </w:tcPr>
          <w:p>
            <w:pPr>
              <w:tabs>
                <w:tab w:val="left" w:pos="5103"/>
              </w:tabs>
              <w:ind w:firstLine="993"/>
              <w:rPr>
                <w:rFonts w:ascii="Cambria" w:eastAsia="Arial" w:hAnsi="Cambria" w:cs="Arial"/>
                <w:b/>
                <w:bCs/>
                <w:sz w:val="24"/>
                <w:szCs w:val="24"/>
              </w:rPr>
            </w:pPr>
            <w:r>
              <w:rPr>
                <w:rFonts w:ascii="Cambria" w:eastAsia="Arial" w:hAnsi="Cambria" w:cs="Arial"/>
                <w:b/>
                <w:bCs/>
                <w:sz w:val="24"/>
                <w:szCs w:val="24"/>
              </w:rPr>
              <w:t>CIPRIANO GOMES RAMOS</w:t>
            </w:r>
          </w:p>
          <w:p>
            <w:pPr>
              <w:pBdr>
                <w:top w:val="nil"/>
                <w:left w:val="nil"/>
                <w:bottom w:val="nil"/>
                <w:right w:val="nil"/>
                <w:between w:val="nil"/>
              </w:pBdr>
              <w:tabs>
                <w:tab w:val="left" w:pos="5103"/>
              </w:tabs>
              <w:jc w:val="center"/>
              <w:rPr>
                <w:rFonts w:ascii="Cambria" w:eastAsia="Arial" w:hAnsi="Cambria" w:cs="Arial"/>
                <w:color w:val="000000"/>
                <w:sz w:val="24"/>
                <w:szCs w:val="24"/>
              </w:rPr>
            </w:pPr>
            <w:r>
              <w:rPr>
                <w:rFonts w:ascii="Cambria" w:eastAsia="Arial" w:hAnsi="Cambria" w:cs="Arial"/>
                <w:sz w:val="24"/>
                <w:szCs w:val="24"/>
              </w:rPr>
              <w:t>Secretaria de Infraestrutura e Serviços Públicos</w:t>
            </w:r>
          </w:p>
          <w:p>
            <w:pPr>
              <w:pBdr>
                <w:top w:val="nil"/>
                <w:left w:val="nil"/>
                <w:bottom w:val="nil"/>
                <w:right w:val="nil"/>
                <w:between w:val="nil"/>
              </w:pBdr>
              <w:tabs>
                <w:tab w:val="left" w:pos="5103"/>
              </w:tabs>
              <w:jc w:val="center"/>
              <w:rPr>
                <w:rFonts w:ascii="Cambria" w:eastAsia="Arial" w:hAnsi="Cambria" w:cs="Arial"/>
                <w:color w:val="000000"/>
                <w:sz w:val="24"/>
                <w:szCs w:val="24"/>
              </w:rPr>
            </w:pPr>
            <w:r>
              <w:rPr>
                <w:rFonts w:ascii="Cambria" w:eastAsia="Arial" w:hAnsi="Cambria" w:cs="Arial"/>
                <w:color w:val="000000"/>
                <w:sz w:val="24"/>
                <w:szCs w:val="24"/>
              </w:rPr>
              <w:lastRenderedPageBreak/>
              <w:t>CONTRATANTE</w:t>
            </w:r>
          </w:p>
        </w:tc>
        <w:tc>
          <w:tcPr>
            <w:tcW w:w="5245" w:type="dxa"/>
          </w:tcPr>
          <w:p>
            <w:pPr>
              <w:tabs>
                <w:tab w:val="left" w:pos="5103"/>
              </w:tabs>
              <w:jc w:val="center"/>
              <w:rPr>
                <w:rFonts w:ascii="Cambria" w:eastAsia="Arial" w:hAnsi="Cambria" w:cs="Arial"/>
                <w:sz w:val="24"/>
                <w:szCs w:val="24"/>
              </w:rPr>
            </w:pPr>
            <w:r>
              <w:rPr>
                <w:rFonts w:ascii="Cambria" w:eastAsia="Arial" w:hAnsi="Cambria" w:cs="Arial"/>
                <w:sz w:val="24"/>
                <w:szCs w:val="24"/>
              </w:rPr>
              <w:lastRenderedPageBreak/>
              <w:t>EMPRESA: ______________</w:t>
            </w:r>
          </w:p>
          <w:p>
            <w:pPr>
              <w:tabs>
                <w:tab w:val="left" w:pos="5103"/>
              </w:tabs>
              <w:jc w:val="center"/>
              <w:rPr>
                <w:rFonts w:ascii="Cambria" w:eastAsia="Arial" w:hAnsi="Cambria" w:cs="Arial"/>
                <w:sz w:val="24"/>
                <w:szCs w:val="24"/>
              </w:rPr>
            </w:pPr>
            <w:r>
              <w:rPr>
                <w:rFonts w:ascii="Cambria" w:eastAsia="Arial" w:hAnsi="Cambria" w:cs="Arial"/>
                <w:sz w:val="24"/>
                <w:szCs w:val="24"/>
              </w:rPr>
              <w:t>Sr(a). ______________</w:t>
            </w:r>
          </w:p>
          <w:p>
            <w:pPr>
              <w:tabs>
                <w:tab w:val="left" w:pos="5103"/>
              </w:tabs>
              <w:jc w:val="center"/>
              <w:rPr>
                <w:rFonts w:ascii="Cambria" w:eastAsia="Arial" w:hAnsi="Cambria" w:cs="Arial"/>
                <w:sz w:val="24"/>
                <w:szCs w:val="24"/>
              </w:rPr>
            </w:pPr>
            <w:r>
              <w:rPr>
                <w:rFonts w:ascii="Cambria" w:eastAsia="Arial" w:hAnsi="Cambria" w:cs="Arial"/>
                <w:sz w:val="24"/>
                <w:szCs w:val="24"/>
              </w:rPr>
              <w:t>CONTRATADA</w:t>
            </w:r>
          </w:p>
        </w:tc>
      </w:tr>
    </w:tbl>
    <w:p>
      <w:pPr>
        <w:tabs>
          <w:tab w:val="left" w:pos="5103"/>
        </w:tabs>
        <w:rPr>
          <w:rFonts w:ascii="Cambria" w:eastAsia="Arial" w:hAnsi="Cambria" w:cs="Arial"/>
          <w:b/>
          <w:sz w:val="24"/>
          <w:szCs w:val="24"/>
        </w:rPr>
      </w:pPr>
    </w:p>
    <w:p>
      <w:pPr>
        <w:tabs>
          <w:tab w:val="left" w:pos="5103"/>
        </w:tabs>
        <w:jc w:val="both"/>
        <w:rPr>
          <w:rFonts w:ascii="Cambria" w:eastAsia="Arial" w:hAnsi="Cambria" w:cs="Arial"/>
          <w:b/>
          <w:sz w:val="24"/>
          <w:szCs w:val="24"/>
        </w:rPr>
      </w:pPr>
      <w:r>
        <w:rPr>
          <w:rFonts w:ascii="Cambria" w:eastAsia="Arial" w:hAnsi="Cambria" w:cs="Arial"/>
          <w:b/>
          <w:sz w:val="24"/>
          <w:szCs w:val="24"/>
        </w:rPr>
        <w:t>TESTEMUNHAS:</w:t>
      </w:r>
    </w:p>
    <w:p>
      <w:pPr>
        <w:tabs>
          <w:tab w:val="left" w:pos="5103"/>
        </w:tabs>
        <w:jc w:val="both"/>
        <w:rPr>
          <w:rFonts w:ascii="Cambria" w:eastAsia="Arial" w:hAnsi="Cambria" w:cs="Arial"/>
          <w:b/>
          <w:sz w:val="24"/>
          <w:szCs w:val="24"/>
        </w:rPr>
      </w:pPr>
    </w:p>
    <w:p>
      <w:pPr>
        <w:tabs>
          <w:tab w:val="left" w:pos="5103"/>
        </w:tabs>
        <w:rPr>
          <w:rFonts w:ascii="Cambria" w:eastAsia="Arial" w:hAnsi="Cambria" w:cs="Arial"/>
          <w:sz w:val="24"/>
          <w:szCs w:val="24"/>
        </w:rPr>
      </w:pPr>
      <w:r>
        <w:rPr>
          <w:rFonts w:ascii="Cambria" w:eastAsia="Arial" w:hAnsi="Cambria" w:cs="Arial"/>
          <w:b/>
          <w:sz w:val="24"/>
          <w:szCs w:val="24"/>
        </w:rPr>
        <w:t>1</w:t>
      </w:r>
      <w:r>
        <w:rPr>
          <w:rFonts w:ascii="Cambria" w:eastAsia="Arial" w:hAnsi="Cambria" w:cs="Arial"/>
          <w:sz w:val="24"/>
          <w:szCs w:val="24"/>
        </w:rPr>
        <w:t>___________________________________________ CPF nº __________________________</w:t>
      </w:r>
    </w:p>
    <w:p>
      <w:pPr>
        <w:tabs>
          <w:tab w:val="left" w:pos="5103"/>
        </w:tabs>
        <w:rPr>
          <w:rFonts w:ascii="Cambria" w:eastAsia="Arial" w:hAnsi="Cambria" w:cs="Arial"/>
          <w:sz w:val="24"/>
          <w:szCs w:val="24"/>
        </w:rPr>
      </w:pPr>
    </w:p>
    <w:p>
      <w:pPr>
        <w:tabs>
          <w:tab w:val="left" w:pos="5103"/>
        </w:tabs>
        <w:rPr>
          <w:rFonts w:ascii="Cambria" w:eastAsia="Arial" w:hAnsi="Cambria" w:cs="Arial"/>
          <w:sz w:val="24"/>
          <w:szCs w:val="24"/>
        </w:rPr>
      </w:pPr>
      <w:r>
        <w:rPr>
          <w:rFonts w:ascii="Cambria" w:eastAsia="Arial" w:hAnsi="Cambria" w:cs="Arial"/>
          <w:b/>
          <w:sz w:val="24"/>
          <w:szCs w:val="24"/>
        </w:rPr>
        <w:t>2</w:t>
      </w:r>
      <w:r>
        <w:rPr>
          <w:rFonts w:ascii="Cambria" w:eastAsia="Arial" w:hAnsi="Cambria" w:cs="Arial"/>
          <w:sz w:val="24"/>
          <w:szCs w:val="24"/>
        </w:rPr>
        <w:t>.___________________________________________ CPF nº __________________________</w:t>
      </w:r>
      <w:bookmarkEnd w:id="0"/>
    </w:p>
    <w:p>
      <w:pPr>
        <w:spacing w:after="160" w:line="259" w:lineRule="auto"/>
        <w:rPr>
          <w:rFonts w:ascii="Cambria" w:eastAsia="Arial" w:hAnsi="Cambria" w:cs="Arial"/>
          <w:sz w:val="24"/>
          <w:szCs w:val="24"/>
        </w:rPr>
      </w:pPr>
      <w:r>
        <w:rPr>
          <w:rFonts w:ascii="Cambria" w:eastAsia="Arial" w:hAnsi="Cambria" w:cs="Arial"/>
          <w:sz w:val="24"/>
          <w:szCs w:val="24"/>
        </w:rPr>
        <w:br w:type="page"/>
      </w:r>
    </w:p>
    <w:p>
      <w:pPr>
        <w:tabs>
          <w:tab w:val="left" w:pos="5103"/>
        </w:tabs>
        <w:rPr>
          <w:rFonts w:ascii="Cambria" w:eastAsia="Arial" w:hAnsi="Cambria" w:cs="Arial"/>
          <w:sz w:val="24"/>
          <w:szCs w:val="24"/>
        </w:rPr>
      </w:pPr>
    </w:p>
    <w:p>
      <w:pPr>
        <w:pStyle w:val="NormalWeb"/>
        <w:jc w:val="center"/>
        <w:rPr>
          <w:rFonts w:ascii="Cambria" w:hAnsi="Cambria"/>
          <w:b/>
          <w:bCs/>
          <w:color w:val="000000" w:themeColor="text1"/>
        </w:rPr>
      </w:pPr>
      <w:r>
        <w:rPr>
          <w:rFonts w:ascii="Cambria" w:hAnsi="Cambria"/>
          <w:b/>
          <w:bCs/>
          <w:color w:val="000000" w:themeColor="text1"/>
        </w:rPr>
        <w:t>AVISO DE PREGÃO ELETRÔNICO N° 90007/2026 - PE</w:t>
      </w:r>
    </w:p>
    <w:p>
      <w:pPr>
        <w:jc w:val="both"/>
        <w:rPr>
          <w:rFonts w:ascii="Cambria" w:hAnsi="Cambria"/>
          <w:bCs/>
          <w:color w:val="000000" w:themeColor="text1"/>
          <w:sz w:val="24"/>
          <w:szCs w:val="24"/>
        </w:rPr>
      </w:pPr>
    </w:p>
    <w:p>
      <w:pPr>
        <w:spacing w:line="276" w:lineRule="auto"/>
        <w:jc w:val="both"/>
        <w:rPr>
          <w:rFonts w:ascii="Cambria" w:hAnsi="Cambria"/>
          <w:color w:val="000000" w:themeColor="text1"/>
          <w:sz w:val="24"/>
          <w:szCs w:val="24"/>
        </w:rPr>
      </w:pPr>
      <w:r>
        <w:rPr>
          <w:rFonts w:ascii="Cambria" w:hAnsi="Cambria"/>
          <w:bCs/>
          <w:color w:val="000000" w:themeColor="text1"/>
          <w:sz w:val="24"/>
          <w:szCs w:val="24"/>
        </w:rPr>
        <w:t xml:space="preserve">ESTADO DO CEARÁ – PREFEITURA MUNICIPAL DE MIRAÍMA – SECRETARIA DE INFRAESTRUTURA E SERVIÇOS PÚBLICOS – AVISO DE PREGÃO ELETRÔNICO N° 90007/2026 - PE. A Prefeitura Municipal de Miraíma-CE, por meio do agente de contratação, torna público que se encontra à disposição dos interessados o EDITAL DO PREGÃO ELETRÔNICO Nº. 90007/2026 - PE, que tem como objeto a </w:t>
      </w:r>
      <w:r>
        <w:rPr>
          <w:rFonts w:ascii="Cambria" w:eastAsia="Times New Roman" w:hAnsi="Cambria"/>
          <w:b/>
          <w:kern w:val="3"/>
          <w:sz w:val="24"/>
          <w:szCs w:val="24"/>
          <w:lang w:eastAsia="zh-CN"/>
        </w:rPr>
        <w:t>AQUISIÇÃO DE EQUIPAMENTOS PARA ACADEMIA AO AR LIVRE, DE INTERESSE DA SECRETARIA DE INFRAESTRUTURA E SERVIÇOS PÚBLICOS DE MIRAÍMA/CE</w:t>
      </w:r>
      <w:r>
        <w:rPr>
          <w:rFonts w:ascii="Cambria" w:hAnsi="Cambria"/>
          <w:bCs/>
          <w:color w:val="000000" w:themeColor="text1"/>
          <w:sz w:val="24"/>
          <w:szCs w:val="24"/>
        </w:rPr>
        <w:t xml:space="preserve">. Esta licitação está sujeita às disposições da Lei Federal nº 14.133/2021. O Edital poderá ser obtido no site </w:t>
      </w:r>
      <w:bookmarkStart w:id="69" w:name="_Hlk160553837"/>
      <w:r>
        <w:rPr>
          <w:rFonts w:ascii="Cambria" w:hAnsi="Cambria"/>
          <w:bCs/>
          <w:color w:val="000000" w:themeColor="text1"/>
          <w:sz w:val="24"/>
          <w:szCs w:val="24"/>
        </w:rPr>
        <w:t xml:space="preserve">do </w:t>
      </w:r>
      <w:bookmarkStart w:id="70" w:name="_Hlk160542504"/>
      <w:r>
        <w:rPr>
          <w:rFonts w:ascii="Cambria" w:hAnsi="Cambria"/>
          <w:bCs/>
          <w:color w:val="000000" w:themeColor="text1"/>
          <w:sz w:val="24"/>
          <w:szCs w:val="24"/>
        </w:rPr>
        <w:t>portal</w:t>
      </w:r>
      <w:bookmarkEnd w:id="69"/>
      <w:bookmarkEnd w:id="70"/>
      <w:r>
        <w:rPr>
          <w:rFonts w:ascii="Cambria" w:hAnsi="Cambria"/>
          <w:bCs/>
          <w:color w:val="000000" w:themeColor="text1"/>
          <w:sz w:val="24"/>
          <w:szCs w:val="24"/>
        </w:rPr>
        <w:t xml:space="preserve"> Compras GOV, através dos endereços eletrônicos: </w:t>
      </w:r>
      <w:bookmarkStart w:id="71" w:name="_Hlk160553940"/>
      <w:r>
        <w:rPr>
          <w:rFonts w:ascii="Cambria" w:hAnsi="Cambria"/>
          <w:color w:val="000000" w:themeColor="text1"/>
          <w:sz w:val="24"/>
          <w:szCs w:val="24"/>
        </w:rPr>
        <w:fldChar w:fldCharType="begin"/>
      </w:r>
      <w:r>
        <w:rPr>
          <w:rFonts w:ascii="Cambria" w:hAnsi="Cambria"/>
          <w:color w:val="000000" w:themeColor="text1"/>
          <w:sz w:val="24"/>
          <w:szCs w:val="24"/>
        </w:rPr>
        <w:instrText>HYPERLINK "http://www.compras.gov.br"</w:instrText>
      </w:r>
      <w:r>
        <w:rPr>
          <w:rFonts w:ascii="Cambria" w:hAnsi="Cambria"/>
          <w:color w:val="000000" w:themeColor="text1"/>
          <w:sz w:val="24"/>
          <w:szCs w:val="24"/>
        </w:rPr>
        <w:fldChar w:fldCharType="separate"/>
      </w:r>
      <w:r>
        <w:rPr>
          <w:rStyle w:val="Hyperlink"/>
          <w:rFonts w:ascii="Cambria" w:hAnsi="Cambria"/>
          <w:color w:val="000000" w:themeColor="text1"/>
          <w:sz w:val="24"/>
          <w:szCs w:val="24"/>
        </w:rPr>
        <w:t>www.compras.gov.br</w:t>
      </w:r>
      <w:r>
        <w:rPr>
          <w:rFonts w:ascii="Cambria" w:hAnsi="Cambria"/>
          <w:color w:val="000000" w:themeColor="text1"/>
          <w:sz w:val="24"/>
          <w:szCs w:val="24"/>
        </w:rPr>
        <w:fldChar w:fldCharType="end"/>
      </w:r>
      <w:r>
        <w:rPr>
          <w:rFonts w:ascii="Cambria" w:hAnsi="Cambria"/>
          <w:bCs/>
          <w:color w:val="000000" w:themeColor="text1"/>
          <w:sz w:val="24"/>
          <w:szCs w:val="24"/>
        </w:rPr>
        <w:t xml:space="preserve">, </w:t>
      </w:r>
      <w:hyperlink r:id="rId51" w:history="1">
        <w:r>
          <w:rPr>
            <w:rStyle w:val="Hyperlink"/>
            <w:rFonts w:ascii="Cambria" w:hAnsi="Cambria"/>
            <w:bCs/>
            <w:color w:val="000000" w:themeColor="text1"/>
            <w:sz w:val="24"/>
            <w:szCs w:val="24"/>
          </w:rPr>
          <w:t>www.miraima.ce.gov.br/</w:t>
        </w:r>
      </w:hyperlink>
      <w:r>
        <w:rPr>
          <w:rFonts w:ascii="Cambria" w:hAnsi="Cambria"/>
          <w:bCs/>
          <w:color w:val="000000" w:themeColor="text1"/>
          <w:sz w:val="24"/>
          <w:szCs w:val="24"/>
        </w:rPr>
        <w:t xml:space="preserve">, </w:t>
      </w:r>
      <w:bookmarkStart w:id="72" w:name="_Hlk154529662"/>
      <w:r>
        <w:rPr>
          <w:rFonts w:ascii="Cambria" w:hAnsi="Cambria"/>
          <w:bCs/>
          <w:color w:val="000000" w:themeColor="text1"/>
          <w:sz w:val="24"/>
          <w:szCs w:val="24"/>
        </w:rPr>
        <w:t xml:space="preserve">ou </w:t>
      </w:r>
      <w:hyperlink r:id="rId52" w:history="1">
        <w:r>
          <w:rPr>
            <w:rStyle w:val="Hyperlink"/>
            <w:rFonts w:ascii="Cambria" w:hAnsi="Cambria"/>
            <w:color w:val="000000" w:themeColor="text1"/>
            <w:sz w:val="24"/>
            <w:szCs w:val="24"/>
          </w:rPr>
          <w:t>https://municipios-licitacoes.tce.ce.gov.br/</w:t>
        </w:r>
      </w:hyperlink>
      <w:bookmarkEnd w:id="71"/>
      <w:bookmarkEnd w:id="72"/>
      <w:r>
        <w:rPr>
          <w:rFonts w:ascii="Cambria" w:hAnsi="Cambria"/>
          <w:color w:val="000000" w:themeColor="text1"/>
          <w:sz w:val="24"/>
          <w:szCs w:val="24"/>
        </w:rPr>
        <w:t xml:space="preserve">. </w:t>
      </w:r>
      <w:r>
        <w:rPr>
          <w:rFonts w:ascii="Cambria" w:hAnsi="Cambria"/>
          <w:bCs/>
          <w:color w:val="000000" w:themeColor="text1"/>
          <w:sz w:val="24"/>
          <w:szCs w:val="24"/>
        </w:rPr>
        <w:t xml:space="preserve"> O recebimento das propostas através do site do portal Compras GOV dar-se-á até </w:t>
      </w:r>
      <w:r>
        <w:rPr>
          <w:rFonts w:ascii="Cambria" w:hAnsi="Cambria"/>
          <w:color w:val="000000" w:themeColor="text1"/>
          <w:sz w:val="24"/>
          <w:szCs w:val="24"/>
          <w:shd w:val="clear" w:color="auto" w:fill="FFFFFF"/>
        </w:rPr>
        <w:t>o dia </w:t>
      </w:r>
      <w:r>
        <w:rPr>
          <w:rFonts w:ascii="Cambria" w:hAnsi="Cambria"/>
          <w:b/>
          <w:bCs/>
          <w:color w:val="000000" w:themeColor="text1"/>
          <w:sz w:val="24"/>
          <w:szCs w:val="24"/>
          <w:shd w:val="clear" w:color="auto" w:fill="FFFFFF"/>
        </w:rPr>
        <w:t>28/05/2026</w:t>
      </w:r>
      <w:r>
        <w:rPr>
          <w:rFonts w:ascii="Cambria" w:hAnsi="Cambria"/>
          <w:color w:val="000000" w:themeColor="text1"/>
          <w:sz w:val="24"/>
          <w:szCs w:val="24"/>
          <w:shd w:val="clear" w:color="auto" w:fill="FFFFFF"/>
        </w:rPr>
        <w:t>, às </w:t>
      </w:r>
      <w:r>
        <w:rPr>
          <w:rFonts w:ascii="Cambria" w:hAnsi="Cambria"/>
          <w:b/>
          <w:bCs/>
          <w:color w:val="000000" w:themeColor="text1"/>
          <w:sz w:val="24"/>
          <w:szCs w:val="24"/>
          <w:shd w:val="clear" w:color="auto" w:fill="FFFFFF"/>
        </w:rPr>
        <w:t>08h59min</w:t>
      </w:r>
      <w:r>
        <w:rPr>
          <w:rFonts w:ascii="Cambria" w:hAnsi="Cambria"/>
          <w:color w:val="000000" w:themeColor="text1"/>
          <w:sz w:val="24"/>
          <w:szCs w:val="24"/>
          <w:shd w:val="clear" w:color="auto" w:fill="FFFFFF"/>
        </w:rPr>
        <w:t> </w:t>
      </w:r>
      <w:r>
        <w:rPr>
          <w:rFonts w:ascii="Cambria" w:hAnsi="Cambria"/>
          <w:b/>
          <w:bCs/>
          <w:color w:val="000000" w:themeColor="text1"/>
          <w:sz w:val="24"/>
          <w:szCs w:val="24"/>
          <w:shd w:val="clear" w:color="auto" w:fill="FFFFFF"/>
        </w:rPr>
        <w:t>(horário de Brasília);</w:t>
      </w:r>
      <w:r>
        <w:rPr>
          <w:rFonts w:ascii="Cambria" w:hAnsi="Cambria"/>
          <w:color w:val="000000" w:themeColor="text1"/>
          <w:sz w:val="24"/>
          <w:szCs w:val="24"/>
          <w:shd w:val="clear" w:color="auto" w:fill="FFFFFF"/>
        </w:rPr>
        <w:t> Abertura das Propostas no dia </w:t>
      </w:r>
      <w:r>
        <w:rPr>
          <w:rFonts w:ascii="Cambria" w:hAnsi="Cambria"/>
          <w:b/>
          <w:bCs/>
          <w:color w:val="000000" w:themeColor="text1"/>
          <w:sz w:val="24"/>
          <w:szCs w:val="24"/>
          <w:shd w:val="clear" w:color="auto" w:fill="FFFFFF"/>
        </w:rPr>
        <w:t>28/05/2025</w:t>
      </w:r>
      <w:r>
        <w:rPr>
          <w:rFonts w:ascii="Cambria" w:hAnsi="Cambria"/>
          <w:color w:val="000000" w:themeColor="text1"/>
          <w:sz w:val="24"/>
          <w:szCs w:val="24"/>
          <w:shd w:val="clear" w:color="auto" w:fill="FFFFFF"/>
        </w:rPr>
        <w:t>, a partir das </w:t>
      </w:r>
      <w:r>
        <w:rPr>
          <w:rFonts w:ascii="Cambria" w:hAnsi="Cambria"/>
          <w:b/>
          <w:bCs/>
          <w:color w:val="000000" w:themeColor="text1"/>
          <w:sz w:val="24"/>
          <w:szCs w:val="24"/>
          <w:shd w:val="clear" w:color="auto" w:fill="FFFFFF"/>
        </w:rPr>
        <w:t>09h00min (horário de Brasília)</w:t>
      </w:r>
      <w:r>
        <w:rPr>
          <w:rFonts w:ascii="Cambria" w:hAnsi="Cambria"/>
          <w:color w:val="000000" w:themeColor="text1"/>
          <w:sz w:val="24"/>
          <w:szCs w:val="24"/>
          <w:shd w:val="clear" w:color="auto" w:fill="FFFFFF"/>
        </w:rPr>
        <w:t> e a fase da Disputa de Lances no dia </w:t>
      </w:r>
      <w:r>
        <w:rPr>
          <w:rFonts w:ascii="Cambria" w:hAnsi="Cambria"/>
          <w:b/>
          <w:bCs/>
          <w:color w:val="000000" w:themeColor="text1"/>
          <w:sz w:val="24"/>
          <w:szCs w:val="24"/>
          <w:shd w:val="clear" w:color="auto" w:fill="FFFFFF"/>
        </w:rPr>
        <w:t>28/05/2025</w:t>
      </w:r>
      <w:r>
        <w:rPr>
          <w:rFonts w:ascii="Cambria" w:hAnsi="Cambria"/>
          <w:color w:val="000000" w:themeColor="text1"/>
          <w:sz w:val="24"/>
          <w:szCs w:val="24"/>
          <w:shd w:val="clear" w:color="auto" w:fill="FFFFFF"/>
        </w:rPr>
        <w:t> a partir das </w:t>
      </w:r>
      <w:r>
        <w:rPr>
          <w:rFonts w:ascii="Cambria" w:hAnsi="Cambria"/>
          <w:b/>
          <w:color w:val="000000" w:themeColor="text1"/>
          <w:sz w:val="24"/>
          <w:szCs w:val="24"/>
          <w:shd w:val="clear" w:color="auto" w:fill="FFFFFF"/>
        </w:rPr>
        <w:t>09</w:t>
      </w:r>
      <w:r>
        <w:rPr>
          <w:rFonts w:ascii="Cambria" w:hAnsi="Cambria"/>
          <w:b/>
          <w:bCs/>
          <w:color w:val="000000" w:themeColor="text1"/>
          <w:sz w:val="24"/>
          <w:szCs w:val="24"/>
          <w:shd w:val="clear" w:color="auto" w:fill="FFFFFF"/>
        </w:rPr>
        <w:t>h00min (horário de Brasília)</w:t>
      </w:r>
      <w:r>
        <w:rPr>
          <w:rFonts w:ascii="Cambria" w:hAnsi="Cambria"/>
          <w:bCs/>
          <w:color w:val="000000" w:themeColor="text1"/>
          <w:sz w:val="24"/>
          <w:szCs w:val="24"/>
        </w:rPr>
        <w:t>. Solicitações de esclarecimento acerca do edital deverão ser enviadas ao endereço eletrônico de e-mail: licitacao@miraima.ce.gov.br. Miraíma/CE, 15 de Maio</w:t>
      </w:r>
      <w:r>
        <w:rPr>
          <w:rFonts w:ascii="Cambria" w:hAnsi="Cambria"/>
          <w:color w:val="000000" w:themeColor="text1"/>
          <w:sz w:val="24"/>
          <w:szCs w:val="24"/>
        </w:rPr>
        <w:t xml:space="preserve"> de 2026. </w:t>
      </w:r>
      <w:r>
        <w:rPr>
          <w:rFonts w:ascii="Cambria" w:hAnsi="Cambria"/>
          <w:bCs/>
          <w:color w:val="000000" w:themeColor="text1"/>
          <w:sz w:val="24"/>
          <w:szCs w:val="24"/>
        </w:rPr>
        <w:t>Antônio Robson Alves dos Santos – Agente de Contratação (Pregoeiro) da Prefeitura Municipal de Miraíma</w:t>
      </w:r>
      <w:r>
        <w:rPr>
          <w:rFonts w:ascii="Cambria" w:hAnsi="Cambria"/>
          <w:color w:val="000000" w:themeColor="text1"/>
          <w:sz w:val="24"/>
          <w:szCs w:val="24"/>
        </w:rPr>
        <w:t>-CE.</w:t>
      </w:r>
    </w:p>
    <w:p>
      <w:pPr>
        <w:jc w:val="both"/>
        <w:rPr>
          <w:rFonts w:ascii="Cambria" w:hAnsi="Cambria"/>
          <w:color w:val="000000" w:themeColor="text1"/>
          <w:sz w:val="24"/>
          <w:szCs w:val="24"/>
        </w:rPr>
      </w:pPr>
    </w:p>
    <w:p>
      <w:pPr>
        <w:jc w:val="right"/>
        <w:rPr>
          <w:rFonts w:ascii="Cambria" w:hAnsi="Cambria"/>
          <w:color w:val="000000" w:themeColor="text1"/>
          <w:sz w:val="24"/>
          <w:szCs w:val="24"/>
        </w:rPr>
      </w:pPr>
      <w:r>
        <w:rPr>
          <w:rFonts w:ascii="Cambria" w:hAnsi="Cambria"/>
          <w:color w:val="000000" w:themeColor="text1"/>
          <w:sz w:val="24"/>
          <w:szCs w:val="24"/>
        </w:rPr>
        <w:t xml:space="preserve">Miraíma-CE, </w:t>
      </w:r>
      <w:r>
        <w:rPr>
          <w:rFonts w:ascii="Cambria" w:hAnsi="Cambria"/>
          <w:bCs/>
          <w:color w:val="000000" w:themeColor="text1"/>
          <w:sz w:val="24"/>
          <w:szCs w:val="24"/>
        </w:rPr>
        <w:t>15 de Maio</w:t>
      </w:r>
      <w:r>
        <w:rPr>
          <w:rFonts w:ascii="Cambria" w:hAnsi="Cambria"/>
          <w:color w:val="000000" w:themeColor="text1"/>
          <w:sz w:val="24"/>
          <w:szCs w:val="24"/>
        </w:rPr>
        <w:t xml:space="preserve"> de 2026</w:t>
      </w:r>
      <w:r>
        <w:rPr>
          <w:rFonts w:ascii="Cambria" w:hAnsi="Cambria"/>
          <w:color w:val="000000" w:themeColor="text1"/>
          <w:sz w:val="24"/>
          <w:szCs w:val="24"/>
        </w:rPr>
        <w:t>.</w:t>
      </w:r>
    </w:p>
    <w:p>
      <w:pPr>
        <w:rPr>
          <w:rFonts w:ascii="Cambria" w:hAnsi="Cambria"/>
          <w:color w:val="000000" w:themeColor="text1"/>
          <w:sz w:val="24"/>
          <w:szCs w:val="24"/>
        </w:rPr>
      </w:pPr>
    </w:p>
    <w:p>
      <w:pPr>
        <w:rPr>
          <w:rFonts w:ascii="Cambria" w:hAnsi="Cambria"/>
          <w:color w:val="000000" w:themeColor="text1"/>
          <w:sz w:val="24"/>
          <w:szCs w:val="24"/>
        </w:rPr>
      </w:pPr>
    </w:p>
    <w:p>
      <w:pPr>
        <w:rPr>
          <w:rFonts w:ascii="Cambria" w:hAnsi="Cambria"/>
          <w:color w:val="000000" w:themeColor="text1"/>
          <w:sz w:val="24"/>
          <w:szCs w:val="24"/>
        </w:rPr>
      </w:pPr>
    </w:p>
    <w:p>
      <w:pPr>
        <w:pStyle w:val="NormalWeb"/>
        <w:spacing w:before="0" w:beforeAutospacing="0" w:after="0" w:afterAutospacing="0"/>
        <w:jc w:val="center"/>
        <w:rPr>
          <w:rFonts w:ascii="Cambria" w:hAnsi="Cambria"/>
          <w:b/>
          <w:color w:val="000000" w:themeColor="text1"/>
        </w:rPr>
      </w:pPr>
      <w:r>
        <w:rPr>
          <w:rFonts w:ascii="Cambria" w:hAnsi="Cambria"/>
          <w:b/>
          <w:color w:val="000000" w:themeColor="text1"/>
        </w:rPr>
        <w:t>ANTONIO ROBSON ALVES DOS SANTOS</w:t>
      </w:r>
    </w:p>
    <w:p>
      <w:pPr>
        <w:pStyle w:val="NormalWeb"/>
        <w:spacing w:before="0" w:beforeAutospacing="0" w:after="0" w:afterAutospacing="0"/>
        <w:jc w:val="center"/>
        <w:rPr>
          <w:rFonts w:ascii="Cambria" w:eastAsia="Calibri" w:hAnsi="Cambria"/>
          <w:color w:val="000000" w:themeColor="text1"/>
          <w:lang w:eastAsia="en-US"/>
        </w:rPr>
      </w:pPr>
      <w:r>
        <w:rPr>
          <w:rFonts w:ascii="Cambria" w:eastAsia="Calibri" w:hAnsi="Cambria"/>
          <w:color w:val="000000" w:themeColor="text1"/>
          <w:lang w:eastAsia="en-US"/>
        </w:rPr>
        <w:t>Agente de Contratação/Pregoeiro</w:t>
      </w:r>
    </w:p>
    <w:p>
      <w:pPr>
        <w:pStyle w:val="NormalWeb"/>
        <w:spacing w:before="0" w:beforeAutospacing="0" w:after="0" w:afterAutospacing="0"/>
        <w:jc w:val="center"/>
        <w:rPr>
          <w:rFonts w:ascii="Cambria" w:hAnsi="Cambria"/>
          <w:bCs/>
          <w:color w:val="000000" w:themeColor="text1"/>
        </w:rPr>
      </w:pPr>
      <w:r>
        <w:rPr>
          <w:rFonts w:ascii="Cambria" w:eastAsia="Arial" w:hAnsi="Cambria"/>
          <w:bCs/>
          <w:color w:val="000000" w:themeColor="text1"/>
        </w:rPr>
        <w:t>PREFEITURA MUNICIPAL DE MIRAÍMA-CE</w:t>
      </w:r>
    </w:p>
    <w:p>
      <w:pPr>
        <w:pStyle w:val="NormalWeb"/>
        <w:jc w:val="center"/>
        <w:rPr>
          <w:rFonts w:ascii="Cambria" w:hAnsi="Cambria"/>
          <w:b/>
          <w:bCs/>
          <w:color w:val="000000" w:themeColor="text1"/>
        </w:rPr>
      </w:pPr>
      <w:r>
        <w:rPr>
          <w:rFonts w:ascii="Cambria" w:hAnsi="Cambria"/>
          <w:b/>
          <w:bCs/>
          <w:color w:val="000000" w:themeColor="text1"/>
        </w:rPr>
        <w:br w:type="page"/>
      </w:r>
    </w:p>
    <w:p>
      <w:pPr>
        <w:pStyle w:val="NormalWeb"/>
        <w:spacing w:before="0" w:beforeAutospacing="0" w:after="0" w:afterAutospacing="0"/>
        <w:jc w:val="center"/>
        <w:rPr>
          <w:rFonts w:ascii="Cambria" w:hAnsi="Cambria"/>
          <w:b/>
          <w:bCs/>
          <w:color w:val="000000" w:themeColor="text1"/>
        </w:rPr>
      </w:pPr>
    </w:p>
    <w:p>
      <w:pPr>
        <w:pStyle w:val="NormalWeb"/>
        <w:spacing w:before="0" w:beforeAutospacing="0" w:after="0" w:afterAutospacing="0"/>
        <w:jc w:val="center"/>
        <w:rPr>
          <w:rFonts w:ascii="Cambria" w:hAnsi="Cambria"/>
          <w:b/>
          <w:bCs/>
          <w:color w:val="000000" w:themeColor="text1"/>
        </w:rPr>
      </w:pPr>
      <w:r>
        <w:rPr>
          <w:rFonts w:ascii="Cambria" w:hAnsi="Cambria"/>
          <w:b/>
          <w:bCs/>
          <w:color w:val="000000" w:themeColor="text1"/>
        </w:rPr>
        <w:t>CERTIDÃO DE AFIXAÇÃO</w:t>
      </w:r>
    </w:p>
    <w:p>
      <w:pPr>
        <w:pStyle w:val="NormalWeb"/>
        <w:spacing w:before="0" w:beforeAutospacing="0" w:after="0" w:afterAutospacing="0"/>
        <w:jc w:val="center"/>
        <w:rPr>
          <w:rFonts w:ascii="Cambria" w:hAnsi="Cambria"/>
          <w:b/>
          <w:bCs/>
          <w:color w:val="000000" w:themeColor="text1"/>
        </w:rPr>
      </w:pPr>
    </w:p>
    <w:p>
      <w:pPr>
        <w:pStyle w:val="NormalWeb"/>
        <w:spacing w:before="0" w:beforeAutospacing="0" w:after="0" w:afterAutospacing="0" w:line="276" w:lineRule="auto"/>
        <w:jc w:val="both"/>
        <w:rPr>
          <w:rFonts w:ascii="Cambria" w:hAnsi="Cambria"/>
          <w:b/>
          <w:color w:val="000000" w:themeColor="text1"/>
        </w:rPr>
      </w:pPr>
      <w:r>
        <w:rPr>
          <w:rFonts w:ascii="Cambria" w:hAnsi="Cambria"/>
          <w:color w:val="000000" w:themeColor="text1"/>
        </w:rPr>
        <w:t xml:space="preserve">Certifico para os devidos fins, que foi afixado no Quadro de Avisos da Prefeitura Municipal de Miraíma/CE, o extrato do AVISO DE PREGÃO ELETRÔNICO N° </w:t>
      </w:r>
      <w:r>
        <w:rPr>
          <w:rFonts w:ascii="Cambria" w:hAnsi="Cambria"/>
          <w:b/>
          <w:bCs/>
          <w:color w:val="000000" w:themeColor="text1"/>
        </w:rPr>
        <w:t>90007/2026 - PE</w:t>
      </w:r>
      <w:r>
        <w:rPr>
          <w:rFonts w:ascii="Cambria" w:hAnsi="Cambria"/>
          <w:color w:val="000000" w:themeColor="text1"/>
        </w:rPr>
        <w:t xml:space="preserve">, Processo Licitatório, referente à </w:t>
      </w:r>
      <w:r>
        <w:rPr>
          <w:rFonts w:ascii="Cambria" w:hAnsi="Cambria"/>
          <w:b/>
          <w:bCs/>
          <w:color w:val="000000" w:themeColor="text1"/>
          <w:lang w:val="en-US"/>
        </w:rPr>
        <w:t>AQUISIÇÃO DE EQUIPAMENTOS PARA ACADEMIA AO AR LIVRE, DE INTERESSE DA SECRETARIA DE INFRAESTRUTURA E SERVIÇOS PÚBLICOS DE MIRAÍMA/CE</w:t>
      </w:r>
      <w:r>
        <w:rPr>
          <w:rFonts w:ascii="Cambria" w:hAnsi="Cambria"/>
          <w:b/>
          <w:color w:val="000000" w:themeColor="text1"/>
        </w:rPr>
        <w:t>.</w:t>
      </w:r>
    </w:p>
    <w:p>
      <w:pPr>
        <w:pStyle w:val="NormalWeb"/>
        <w:spacing w:before="0" w:beforeAutospacing="0" w:after="0" w:afterAutospacing="0"/>
        <w:jc w:val="both"/>
        <w:rPr>
          <w:rFonts w:ascii="Cambria" w:hAnsi="Cambria"/>
          <w:b/>
          <w:color w:val="000000" w:themeColor="text1"/>
        </w:rPr>
      </w:pPr>
    </w:p>
    <w:p>
      <w:pPr>
        <w:jc w:val="right"/>
        <w:rPr>
          <w:rFonts w:ascii="Cambria" w:hAnsi="Cambria"/>
          <w:color w:val="000000" w:themeColor="text1"/>
          <w:sz w:val="24"/>
          <w:szCs w:val="24"/>
        </w:rPr>
      </w:pPr>
      <w:r>
        <w:rPr>
          <w:rFonts w:ascii="Cambria" w:hAnsi="Cambria"/>
          <w:color w:val="000000" w:themeColor="text1"/>
          <w:sz w:val="24"/>
          <w:szCs w:val="24"/>
        </w:rPr>
        <w:t xml:space="preserve">Miraíma-CE, </w:t>
      </w:r>
      <w:r>
        <w:rPr>
          <w:rFonts w:ascii="Cambria" w:hAnsi="Cambria"/>
          <w:bCs/>
          <w:color w:val="000000" w:themeColor="text1"/>
          <w:sz w:val="24"/>
          <w:szCs w:val="24"/>
        </w:rPr>
        <w:t>15 de Maio</w:t>
      </w:r>
      <w:r>
        <w:rPr>
          <w:rFonts w:ascii="Cambria" w:hAnsi="Cambria"/>
          <w:color w:val="000000" w:themeColor="text1"/>
          <w:sz w:val="24"/>
          <w:szCs w:val="24"/>
        </w:rPr>
        <w:t xml:space="preserve"> de 2026</w:t>
      </w:r>
      <w:r>
        <w:rPr>
          <w:rFonts w:ascii="Cambria" w:hAnsi="Cambria"/>
          <w:color w:val="000000" w:themeColor="text1"/>
          <w:sz w:val="24"/>
          <w:szCs w:val="24"/>
        </w:rPr>
        <w:t>.</w:t>
      </w:r>
    </w:p>
    <w:p>
      <w:pPr>
        <w:rPr>
          <w:rFonts w:ascii="Cambria" w:hAnsi="Cambria"/>
          <w:color w:val="000000" w:themeColor="text1"/>
          <w:sz w:val="24"/>
          <w:szCs w:val="24"/>
        </w:rPr>
      </w:pPr>
    </w:p>
    <w:p>
      <w:pPr>
        <w:rPr>
          <w:rFonts w:ascii="Cambria" w:hAnsi="Cambria"/>
          <w:b/>
          <w:color w:val="000000" w:themeColor="text1"/>
          <w:sz w:val="24"/>
          <w:szCs w:val="24"/>
        </w:rPr>
      </w:pPr>
    </w:p>
    <w:p>
      <w:pPr>
        <w:rPr>
          <w:rFonts w:ascii="Cambria" w:hAnsi="Cambria"/>
          <w:b/>
          <w:color w:val="000000" w:themeColor="text1"/>
          <w:sz w:val="24"/>
          <w:szCs w:val="24"/>
        </w:rPr>
      </w:pPr>
    </w:p>
    <w:p>
      <w:pPr>
        <w:pStyle w:val="NormalWeb"/>
        <w:spacing w:before="0" w:beforeAutospacing="0" w:after="0" w:afterAutospacing="0"/>
        <w:jc w:val="center"/>
        <w:rPr>
          <w:rFonts w:ascii="Cambria" w:hAnsi="Cambria"/>
          <w:b/>
          <w:color w:val="000000" w:themeColor="text1"/>
        </w:rPr>
      </w:pPr>
      <w:r>
        <w:rPr>
          <w:rFonts w:ascii="Cambria" w:hAnsi="Cambria"/>
          <w:b/>
          <w:color w:val="000000" w:themeColor="text1"/>
        </w:rPr>
        <w:t>ANTONIO ROBSON ALVES DOS SANTOS</w:t>
      </w:r>
    </w:p>
    <w:p>
      <w:pPr>
        <w:pStyle w:val="NormalWeb"/>
        <w:spacing w:before="0" w:beforeAutospacing="0" w:after="0" w:afterAutospacing="0"/>
        <w:jc w:val="center"/>
        <w:rPr>
          <w:rFonts w:ascii="Cambria" w:eastAsia="Calibri" w:hAnsi="Cambria"/>
          <w:color w:val="000000" w:themeColor="text1"/>
          <w:lang w:eastAsia="en-US"/>
        </w:rPr>
      </w:pPr>
      <w:r>
        <w:rPr>
          <w:rFonts w:ascii="Cambria" w:eastAsia="Calibri" w:hAnsi="Cambria"/>
          <w:color w:val="000000" w:themeColor="text1"/>
          <w:lang w:eastAsia="en-US"/>
        </w:rPr>
        <w:t>Agente de Contratação/Pregoeiro</w:t>
      </w:r>
    </w:p>
    <w:p>
      <w:pPr>
        <w:pStyle w:val="NormalWeb"/>
        <w:spacing w:before="0" w:beforeAutospacing="0" w:after="0" w:afterAutospacing="0"/>
        <w:jc w:val="center"/>
        <w:rPr>
          <w:rFonts w:ascii="Cambria" w:hAnsi="Cambria"/>
          <w:bCs/>
          <w:color w:val="000000" w:themeColor="text1"/>
        </w:rPr>
      </w:pPr>
      <w:r>
        <w:rPr>
          <w:rFonts w:ascii="Cambria" w:eastAsia="Arial" w:hAnsi="Cambria"/>
          <w:bCs/>
          <w:color w:val="000000" w:themeColor="text1"/>
        </w:rPr>
        <w:t>PREFEITURA MUNICIPAL DE MIRAÍMA-CE</w:t>
      </w:r>
    </w:p>
    <w:p>
      <w:pPr>
        <w:spacing w:after="160" w:line="259" w:lineRule="auto"/>
        <w:rPr>
          <w:rFonts w:ascii="Cambria" w:hAnsi="Cambria"/>
          <w:color w:val="000000" w:themeColor="text1"/>
          <w:sz w:val="24"/>
          <w:szCs w:val="24"/>
        </w:rPr>
      </w:pPr>
      <w:r>
        <w:rPr>
          <w:rFonts w:ascii="Cambria" w:hAnsi="Cambria"/>
          <w:color w:val="000000" w:themeColor="text1"/>
        </w:rPr>
        <w:br w:type="page"/>
      </w:r>
    </w:p>
    <w:p>
      <w:pPr>
        <w:tabs>
          <w:tab w:val="left" w:pos="5103"/>
        </w:tabs>
        <w:rPr>
          <w:rFonts w:ascii="Cambria" w:eastAsia="Arial" w:hAnsi="Cambria" w:cs="Arial"/>
          <w:sz w:val="24"/>
          <w:szCs w:val="24"/>
        </w:rPr>
      </w:pPr>
    </w:p>
    <w:sectPr>
      <w:headerReference w:type="default" r:id="rId53"/>
      <w:footerReference w:type="default" r:id="rId54"/>
      <w:pgSz w:w="11907" w:h="16840"/>
      <w:pgMar w:top="1134" w:right="1080" w:bottom="1440" w:left="1080" w:header="1276" w:footer="251"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ahoma-Bold">
    <w:altName w:val="Arial"/>
    <w:charset w:val="00"/>
    <w:family w:val="swiss"/>
    <w:pitch w:val="default"/>
  </w:font>
  <w:font w:name="Verdana">
    <w:panose1 w:val="020B0604030504040204"/>
    <w:charset w:val="00"/>
    <w:family w:val="swiss"/>
    <w:pitch w:val="variable"/>
    <w:sig w:usb0="A00006FF" w:usb1="4000205B" w:usb2="00000010" w:usb3="00000000" w:csb0="0000019F" w:csb1="00000000"/>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Rodap"/>
      <w:jc w:val="center"/>
    </w:pPr>
    <w:r>
      <w:rPr>
        <w:noProof/>
        <w:sz w:val="18"/>
      </w:rPr>
      <w:drawing>
        <wp:anchor distT="0" distB="0" distL="114300" distR="114300" simplePos="0" relativeHeight="251655680"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95566367" name="Imagem 195566367"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rPr>
      <w:drawing>
        <wp:anchor distT="0" distB="0" distL="114300" distR="114300" simplePos="0" relativeHeight="25165772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159403418" name="Imagem 1159403418"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rPr>
      <w:drawing>
        <wp:anchor distT="0" distB="0" distL="114300" distR="114300" simplePos="0" relativeHeight="25165977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828155896" name="Imagem 828155896"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t>Esplanada da Estação, 433 – Centro – Miraíma – CE</w:t>
    </w:r>
  </w:p>
  <w:p>
    <w:pPr>
      <w:pStyle w:val="Rodap"/>
      <w:jc w:val="center"/>
    </w:pPr>
    <w:r>
      <w:t xml:space="preserve">Telefone: 88 36301167 – E-mail: </w:t>
    </w:r>
    <w:hyperlink r:id="rId3" w:history="1">
      <w:r>
        <w:rPr>
          <w:rStyle w:val="Hyperlink"/>
          <w:color w:val="000099"/>
        </w:rPr>
        <w:t>gabinete@miraima.ce.gov.br</w:t>
      </w:r>
    </w:hyperlink>
  </w:p>
  <w:p>
    <w:pPr>
      <w:pStyle w:val="Rodap"/>
      <w:jc w:val="center"/>
    </w:pPr>
    <w:r>
      <w:rPr>
        <w:b/>
      </w:rPr>
      <w:t>CNPJ/MF</w:t>
    </w:r>
    <w:r>
      <w:t xml:space="preserve"> nº 10.517.563/0001-05 - </w:t>
    </w:r>
    <w:r>
      <w:rPr>
        <w:b/>
      </w:rPr>
      <w:t>CGF nº</w:t>
    </w:r>
    <w:r>
      <w:t xml:space="preserve"> 06.920.294-0</w:t>
    </w:r>
  </w:p>
  <w:p>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jc w:val="center"/>
    </w:pPr>
    <w:r>
      <w:rPr>
        <w:b/>
        <w:noProof/>
        <w:color w:val="333399"/>
        <w:sz w:val="26"/>
        <w:szCs w:val="26"/>
      </w:rPr>
      <w:drawing>
        <wp:anchor distT="0" distB="0" distL="114300" distR="114300" simplePos="0" relativeHeight="251658752" behindDoc="1" locked="0" layoutInCell="1" allowOverlap="1">
          <wp:simplePos x="0" y="0"/>
          <wp:positionH relativeFrom="column">
            <wp:posOffset>5477510</wp:posOffset>
          </wp:positionH>
          <wp:positionV relativeFrom="paragraph">
            <wp:posOffset>-604520</wp:posOffset>
          </wp:positionV>
          <wp:extent cx="950595" cy="1021080"/>
          <wp:effectExtent l="0" t="0" r="1905" b="7620"/>
          <wp:wrapTight wrapText="bothSides">
            <wp:wrapPolygon edited="0">
              <wp:start x="6926" y="0"/>
              <wp:lineTo x="4329" y="1209"/>
              <wp:lineTo x="0" y="5239"/>
              <wp:lineTo x="0" y="14104"/>
              <wp:lineTo x="3463" y="19343"/>
              <wp:lineTo x="7359" y="21358"/>
              <wp:lineTo x="13852" y="21358"/>
              <wp:lineTo x="16882" y="19343"/>
              <wp:lineTo x="21210" y="15313"/>
              <wp:lineTo x="21210" y="5239"/>
              <wp:lineTo x="17315" y="1612"/>
              <wp:lineTo x="14717" y="0"/>
              <wp:lineTo x="6926" y="0"/>
            </wp:wrapPolygon>
          </wp:wrapTight>
          <wp:docPr id="904681010" name="Imagem 90468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0595" cy="10210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simplePos x="0" y="0"/>
          <wp:positionH relativeFrom="margin">
            <wp:posOffset>2133600</wp:posOffset>
          </wp:positionH>
          <wp:positionV relativeFrom="paragraph">
            <wp:posOffset>-944880</wp:posOffset>
          </wp:positionV>
          <wp:extent cx="1813560" cy="1587500"/>
          <wp:effectExtent l="0" t="0" r="0" b="0"/>
          <wp:wrapThrough wrapText="bothSides">
            <wp:wrapPolygon edited="0">
              <wp:start x="10210" y="2592"/>
              <wp:lineTo x="7034" y="4666"/>
              <wp:lineTo x="5445" y="5962"/>
              <wp:lineTo x="5445" y="11405"/>
              <wp:lineTo x="2496" y="12960"/>
              <wp:lineTo x="1815" y="13997"/>
              <wp:lineTo x="1815" y="17366"/>
              <wp:lineTo x="19513" y="17366"/>
              <wp:lineTo x="19286" y="15552"/>
              <wp:lineTo x="16109" y="11405"/>
              <wp:lineTo x="15882" y="5702"/>
              <wp:lineTo x="14748" y="4406"/>
              <wp:lineTo x="11345" y="2592"/>
              <wp:lineTo x="10210" y="2592"/>
            </wp:wrapPolygon>
          </wp:wrapThrough>
          <wp:docPr id="1254002200" name="Imagem 125400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13560" cy="1587500"/>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pStyle w:val="Cabealho"/>
    </w:pPr>
  </w:p>
  <w:p>
    <w:pPr>
      <w:widowControl w:val="0"/>
      <w:tabs>
        <w:tab w:val="center" w:pos="4252"/>
        <w:tab w:val="right" w:pos="8504"/>
      </w:tabs>
      <w:autoSpaceDE w:val="0"/>
      <w:autoSpaceDN w:val="0"/>
      <w:rPr>
        <w:lang w:val="en-US" w:eastAsia="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C09C2"/>
    <w:multiLevelType w:val="multilevel"/>
    <w:tmpl w:val="FCF02EA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upperRoman"/>
      <w:lvlText w:val="%3."/>
      <w:lvlJc w:val="right"/>
      <w:pPr>
        <w:ind w:left="1080" w:hanging="720"/>
      </w:pPr>
      <w:rPr>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
    <w:nsid w:val="02662AC1"/>
    <w:multiLevelType w:val="multilevel"/>
    <w:tmpl w:val="CEC4D348"/>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
    <w:nsid w:val="04A67E96"/>
    <w:multiLevelType w:val="multilevel"/>
    <w:tmpl w:val="94589C68"/>
    <w:lvl w:ilvl="0">
      <w:start w:val="1"/>
      <w:numFmt w:val="decimal"/>
      <w:lvlText w:val="%1."/>
      <w:lvlJc w:val="left"/>
      <w:pPr>
        <w:ind w:left="720" w:hanging="360"/>
      </w:pPr>
      <w:rPr>
        <w:color w:val="auto"/>
      </w:rPr>
    </w:lvl>
    <w:lvl w:ilvl="1">
      <w:start w:val="1"/>
      <w:numFmt w:val="decimal"/>
      <w:lvlText w:val="%1.%2."/>
      <w:lvlJc w:val="left"/>
      <w:pPr>
        <w:ind w:left="3272" w:hanging="720"/>
      </w:pPr>
      <w:rPr>
        <w:sz w:val="24"/>
        <w:szCs w:val="24"/>
      </w:rPr>
    </w:lvl>
    <w:lvl w:ilvl="2">
      <w:start w:val="1"/>
      <w:numFmt w:val="decimal"/>
      <w:lvlText w:val="%1.%2.%3."/>
      <w:lvlJc w:val="left"/>
      <w:pPr>
        <w:ind w:left="1855" w:hanging="720"/>
      </w:pPr>
      <w:rPr>
        <w:b/>
        <w:bCs/>
        <w:sz w:val="24"/>
        <w:szCs w:val="24"/>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
    <w:nsid w:val="0BBD71AF"/>
    <w:multiLevelType w:val="multilevel"/>
    <w:tmpl w:val="40962850"/>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
    <w:nsid w:val="0D9371ED"/>
    <w:multiLevelType w:val="multilevel"/>
    <w:tmpl w:val="D29ADDC2"/>
    <w:lvl w:ilvl="0">
      <w:start w:val="2"/>
      <w:numFmt w:val="decimal"/>
      <w:lvlText w:val="%1."/>
      <w:lvlJc w:val="left"/>
      <w:pPr>
        <w:ind w:left="1068" w:hanging="360"/>
      </w:pPr>
    </w:lvl>
    <w:lvl w:ilvl="1">
      <w:start w:val="1"/>
      <w:numFmt w:val="decimal"/>
      <w:lvlText w:val="%1.%2."/>
      <w:lvlJc w:val="left"/>
      <w:pPr>
        <w:ind w:left="360" w:hanging="360"/>
      </w:pPr>
      <w:rPr>
        <w:b/>
        <w:bCs/>
      </w:rPr>
    </w:lvl>
    <w:lvl w:ilvl="2">
      <w:start w:val="1"/>
      <w:numFmt w:val="decimal"/>
      <w:lvlText w:val="%1.%2.%3."/>
      <w:lvlJc w:val="left"/>
      <w:pPr>
        <w:ind w:left="1288" w:hanging="720"/>
      </w:pPr>
      <w:rPr>
        <w:b w:val="0"/>
        <w:bCs/>
      </w:rPr>
    </w:lvl>
    <w:lvl w:ilvl="3">
      <w:start w:val="1"/>
      <w:numFmt w:val="decimal"/>
      <w:lvlText w:val="%1.%2.%3.%4."/>
      <w:lvlJc w:val="left"/>
      <w:pPr>
        <w:ind w:left="1428" w:hanging="720"/>
      </w:pPr>
      <w:rPr>
        <w:b w:val="0"/>
        <w:bCs/>
      </w:rPr>
    </w:lvl>
    <w:lvl w:ilvl="4">
      <w:start w:val="1"/>
      <w:numFmt w:val="decimal"/>
      <w:lvlText w:val="%1.%2.%3.%4.%5."/>
      <w:lvlJc w:val="left"/>
      <w:pPr>
        <w:ind w:left="1788" w:hanging="1080"/>
      </w:pPr>
    </w:lvl>
    <w:lvl w:ilvl="5">
      <w:start w:val="1"/>
      <w:numFmt w:val="decimal"/>
      <w:lvlText w:val="%1.%2.%3.%4.%5.%6."/>
      <w:lvlJc w:val="left"/>
      <w:pPr>
        <w:ind w:left="1788" w:hanging="1080"/>
      </w:pPr>
    </w:lvl>
    <w:lvl w:ilvl="6">
      <w:start w:val="1"/>
      <w:numFmt w:val="decimal"/>
      <w:lvlText w:val="%1.%2.%3.%4.%5.%6.%7."/>
      <w:lvlJc w:val="left"/>
      <w:pPr>
        <w:ind w:left="2148" w:hanging="1440"/>
      </w:pPr>
    </w:lvl>
    <w:lvl w:ilvl="7">
      <w:start w:val="1"/>
      <w:numFmt w:val="decimal"/>
      <w:lvlText w:val="%1.%2.%3.%4.%5.%6.%7.%8."/>
      <w:lvlJc w:val="left"/>
      <w:pPr>
        <w:ind w:left="2148" w:hanging="1440"/>
      </w:pPr>
    </w:lvl>
    <w:lvl w:ilvl="8">
      <w:start w:val="1"/>
      <w:numFmt w:val="decimal"/>
      <w:lvlText w:val="%1.%2.%3.%4.%5.%6.%7.%8.%9."/>
      <w:lvlJc w:val="left"/>
      <w:pPr>
        <w:ind w:left="2508" w:hanging="1800"/>
      </w:pPr>
    </w:lvl>
  </w:abstractNum>
  <w:abstractNum w:abstractNumId="5">
    <w:nsid w:val="10041494"/>
    <w:multiLevelType w:val="multilevel"/>
    <w:tmpl w:val="7108D038"/>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27844A1"/>
    <w:multiLevelType w:val="multilevel"/>
    <w:tmpl w:val="1C0C7AFA"/>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
    <w:nsid w:val="165E5302"/>
    <w:multiLevelType w:val="multilevel"/>
    <w:tmpl w:val="7494AAD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8970CC0"/>
    <w:multiLevelType w:val="hybridMultilevel"/>
    <w:tmpl w:val="04F479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8E54304"/>
    <w:multiLevelType w:val="multilevel"/>
    <w:tmpl w:val="246C9A56"/>
    <w:lvl w:ilvl="0">
      <w:start w:val="1"/>
      <w:numFmt w:val="lowerLetter"/>
      <w:lvlText w:val="%1."/>
      <w:lvlJc w:val="left"/>
      <w:pPr>
        <w:ind w:left="360" w:hanging="360"/>
      </w:pPr>
      <w:rPr>
        <w:b/>
        <w:bCs w:val="0"/>
      </w:rPr>
    </w:lvl>
    <w:lvl w:ilvl="1">
      <w:start w:val="1"/>
      <w:numFmt w:val="decimal"/>
      <w:lvlText w:val="%1.%2."/>
      <w:lvlJc w:val="left"/>
      <w:pPr>
        <w:ind w:left="862" w:hanging="720"/>
      </w:pPr>
      <w:rPr>
        <w:b w:val="0"/>
      </w:rPr>
    </w:lvl>
    <w:lvl w:ilvl="2">
      <w:start w:val="1"/>
      <w:numFmt w:val="decimal"/>
      <w:lvlText w:val="%1.%2.%3."/>
      <w:lvlJc w:val="left"/>
      <w:pPr>
        <w:ind w:left="720" w:hanging="720"/>
      </w:pPr>
      <w:rPr>
        <w:b w:val="0"/>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10">
    <w:nsid w:val="18F242E2"/>
    <w:multiLevelType w:val="multilevel"/>
    <w:tmpl w:val="126E4F9E"/>
    <w:lvl w:ilvl="0">
      <w:start w:val="1"/>
      <w:numFmt w:val="lowerLetter"/>
      <w:lvlText w:val="%1)"/>
      <w:lvlJc w:val="left"/>
      <w:pPr>
        <w:ind w:left="720" w:hanging="360"/>
      </w:pPr>
    </w:lvl>
    <w:lvl w:ilvl="1">
      <w:start w:val="1"/>
      <w:numFmt w:val="lowerLetter"/>
      <w:lvlText w:val="%2."/>
      <w:lvlJc w:val="left"/>
      <w:pPr>
        <w:ind w:left="1440" w:hanging="36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19D5391A"/>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nsid w:val="1B3E618E"/>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nsid w:val="1BCE6906"/>
    <w:multiLevelType w:val="multilevel"/>
    <w:tmpl w:val="B0B0006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nsid w:val="1DFB5785"/>
    <w:multiLevelType w:val="multilevel"/>
    <w:tmpl w:val="99F263FC"/>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5">
    <w:nsid w:val="227801AD"/>
    <w:multiLevelType w:val="multilevel"/>
    <w:tmpl w:val="08FE3FC2"/>
    <w:lvl w:ilvl="0">
      <w:start w:val="10"/>
      <w:numFmt w:val="decimal"/>
      <w:lvlText w:val="%1."/>
      <w:lvlJc w:val="left"/>
      <w:pPr>
        <w:ind w:left="444" w:hanging="444"/>
      </w:pPr>
    </w:lvl>
    <w:lvl w:ilvl="1">
      <w:start w:val="1"/>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nsid w:val="268D2BD3"/>
    <w:multiLevelType w:val="multilevel"/>
    <w:tmpl w:val="E3C0DEC0"/>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decimal"/>
      <w:lvlText w:val="%1.%2.%3."/>
      <w:lvlJc w:val="left"/>
      <w:pPr>
        <w:ind w:left="1080" w:hanging="720"/>
      </w:pPr>
      <w:rPr>
        <w:b w:val="0"/>
        <w:sz w:val="22"/>
        <w:szCs w:val="22"/>
      </w:rPr>
    </w:lvl>
    <w:lvl w:ilvl="3">
      <w:start w:val="1"/>
      <w:numFmt w:val="lowerLetter"/>
      <w:lvlText w:val="%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7">
    <w:nsid w:val="282E35EA"/>
    <w:multiLevelType w:val="hybridMultilevel"/>
    <w:tmpl w:val="084483E4"/>
    <w:lvl w:ilvl="0" w:tplc="04160017">
      <w:start w:val="1"/>
      <w:numFmt w:val="lowerLetter"/>
      <w:lvlText w:val="%1)"/>
      <w:lvlJc w:val="left"/>
      <w:pPr>
        <w:ind w:left="1440" w:hanging="360"/>
      </w:pPr>
    </w:lvl>
    <w:lvl w:ilvl="1" w:tplc="04160017">
      <w:start w:val="1"/>
      <w:numFmt w:val="lowerLetter"/>
      <w:lvlText w:val="%2)"/>
      <w:lvlJc w:val="left"/>
      <w:pPr>
        <w:ind w:left="2160" w:hanging="360"/>
      </w:pPr>
      <w:rPr>
        <w:b/>
        <w:bCs w:val="0"/>
      </w:rPr>
    </w:lvl>
    <w:lvl w:ilvl="2" w:tplc="0416001B">
      <w:start w:val="1"/>
      <w:numFmt w:val="lowerRoman"/>
      <w:lvlText w:val="%3."/>
      <w:lvlJc w:val="right"/>
      <w:pPr>
        <w:ind w:left="2880" w:hanging="180"/>
      </w:pPr>
    </w:lvl>
    <w:lvl w:ilvl="3" w:tplc="0416000F">
      <w:start w:val="1"/>
      <w:numFmt w:val="decimal"/>
      <w:lvlText w:val="%4."/>
      <w:lvlJc w:val="left"/>
      <w:pPr>
        <w:ind w:left="3600" w:hanging="360"/>
      </w:pPr>
    </w:lvl>
    <w:lvl w:ilvl="4" w:tplc="04160019">
      <w:start w:val="1"/>
      <w:numFmt w:val="lowerLetter"/>
      <w:lvlText w:val="%5."/>
      <w:lvlJc w:val="left"/>
      <w:pPr>
        <w:ind w:left="4320" w:hanging="360"/>
      </w:pPr>
    </w:lvl>
    <w:lvl w:ilvl="5" w:tplc="0416001B">
      <w:start w:val="1"/>
      <w:numFmt w:val="lowerRoman"/>
      <w:lvlText w:val="%6."/>
      <w:lvlJc w:val="right"/>
      <w:pPr>
        <w:ind w:left="5040" w:hanging="180"/>
      </w:pPr>
    </w:lvl>
    <w:lvl w:ilvl="6" w:tplc="0416000F">
      <w:start w:val="1"/>
      <w:numFmt w:val="decimal"/>
      <w:lvlText w:val="%7."/>
      <w:lvlJc w:val="left"/>
      <w:pPr>
        <w:ind w:left="5760" w:hanging="360"/>
      </w:pPr>
    </w:lvl>
    <w:lvl w:ilvl="7" w:tplc="04160019">
      <w:start w:val="1"/>
      <w:numFmt w:val="lowerLetter"/>
      <w:lvlText w:val="%8."/>
      <w:lvlJc w:val="left"/>
      <w:pPr>
        <w:ind w:left="6480" w:hanging="360"/>
      </w:pPr>
    </w:lvl>
    <w:lvl w:ilvl="8" w:tplc="0416001B">
      <w:start w:val="1"/>
      <w:numFmt w:val="lowerRoman"/>
      <w:lvlText w:val="%9."/>
      <w:lvlJc w:val="right"/>
      <w:pPr>
        <w:ind w:left="7200" w:hanging="180"/>
      </w:pPr>
    </w:lvl>
  </w:abstractNum>
  <w:abstractNum w:abstractNumId="18">
    <w:nsid w:val="29EF760F"/>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nsid w:val="2AFF2AAE"/>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nsid w:val="2F022CBC"/>
    <w:multiLevelType w:val="multilevel"/>
    <w:tmpl w:val="DD9C5EA0"/>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1">
    <w:nsid w:val="2FB57C8B"/>
    <w:multiLevelType w:val="multilevel"/>
    <w:tmpl w:val="72B4CD2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2">
    <w:nsid w:val="2FBE477F"/>
    <w:multiLevelType w:val="multilevel"/>
    <w:tmpl w:val="14B006EA"/>
    <w:lvl w:ilvl="0">
      <w:start w:val="1"/>
      <w:numFmt w:val="lowerLetter"/>
      <w:lvlText w:val="%1)"/>
      <w:lvlJc w:val="left"/>
      <w:pPr>
        <w:ind w:left="720" w:hanging="360"/>
      </w:pPr>
    </w:lvl>
    <w:lvl w:ilvl="1">
      <w:start w:val="1"/>
      <w:numFmt w:val="lowerLetter"/>
      <w:pStyle w:val="Recuodecorpodetexto1"/>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33950C22"/>
    <w:multiLevelType w:val="multilevel"/>
    <w:tmpl w:val="6A34B88A"/>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nsid w:val="36355E65"/>
    <w:multiLevelType w:val="multilevel"/>
    <w:tmpl w:val="163C7A4C"/>
    <w:lvl w:ilvl="0">
      <w:start w:val="1"/>
      <w:numFmt w:val="decimal"/>
      <w:lvlText w:val="%1."/>
      <w:lvlJc w:val="left"/>
      <w:pPr>
        <w:ind w:left="390" w:hanging="390"/>
      </w:pPr>
      <w:rPr>
        <w:b/>
      </w:rPr>
    </w:lvl>
    <w:lvl w:ilvl="1">
      <w:start w:val="1"/>
      <w:numFmt w:val="decimal"/>
      <w:lvlText w:val="%1.%2."/>
      <w:lvlJc w:val="left"/>
      <w:pPr>
        <w:ind w:left="390" w:hanging="390"/>
      </w:pPr>
      <w:rPr>
        <w:b w:val="0"/>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5">
    <w:nsid w:val="367F5345"/>
    <w:multiLevelType w:val="multilevel"/>
    <w:tmpl w:val="6F42AEE0"/>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decimal"/>
      <w:lvlText w:val="%1.%2.%3."/>
      <w:lvlJc w:val="left"/>
      <w:pPr>
        <w:ind w:left="1080" w:hanging="720"/>
      </w:pPr>
      <w:rPr>
        <w:b w:val="0"/>
        <w:sz w:val="22"/>
        <w:szCs w:val="22"/>
      </w:rPr>
    </w:lvl>
    <w:lvl w:ilvl="3">
      <w:start w:val="1"/>
      <w:numFmt w:val="lowerLetter"/>
      <w:lvlText w:val="%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6">
    <w:nsid w:val="3775327A"/>
    <w:multiLevelType w:val="multilevel"/>
    <w:tmpl w:val="4ED6C36A"/>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080"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7">
    <w:nsid w:val="3E2E3B40"/>
    <w:multiLevelType w:val="multilevel"/>
    <w:tmpl w:val="763423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46DE6BD0"/>
    <w:multiLevelType w:val="hybridMultilevel"/>
    <w:tmpl w:val="BB1CC286"/>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9">
    <w:nsid w:val="485232E7"/>
    <w:multiLevelType w:val="multilevel"/>
    <w:tmpl w:val="0314909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0">
    <w:nsid w:val="490748FA"/>
    <w:multiLevelType w:val="multilevel"/>
    <w:tmpl w:val="E12843AE"/>
    <w:lvl w:ilvl="0">
      <w:start w:val="1"/>
      <w:numFmt w:val="decimal"/>
      <w:pStyle w:val="NormalCourierNew"/>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080"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1">
    <w:nsid w:val="490924CA"/>
    <w:multiLevelType w:val="multilevel"/>
    <w:tmpl w:val="081A22F2"/>
    <w:lvl w:ilvl="0">
      <w:start w:val="1"/>
      <w:numFmt w:val="bullet"/>
      <w:lvlText w:val="⮚"/>
      <w:lvlJc w:val="left"/>
      <w:pPr>
        <w:ind w:left="720" w:hanging="360"/>
      </w:pPr>
      <w:rPr>
        <w:rFonts w:ascii="Noto Sans Symbols" w:eastAsia="Noto Sans Symbols" w:hAnsi="Noto Sans Symbols" w:cs="Noto Sans Symbols"/>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528D2BCC"/>
    <w:multiLevelType w:val="multilevel"/>
    <w:tmpl w:val="E61EA8C6"/>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3">
    <w:nsid w:val="56D45986"/>
    <w:multiLevelType w:val="hybridMultilevel"/>
    <w:tmpl w:val="85987A1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4">
    <w:nsid w:val="599F6584"/>
    <w:multiLevelType w:val="multilevel"/>
    <w:tmpl w:val="99D4FCA6"/>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upperRoman"/>
      <w:lvlText w:val="%3."/>
      <w:lvlJc w:val="right"/>
      <w:pPr>
        <w:ind w:left="1080" w:hanging="720"/>
      </w:pPr>
      <w:rPr>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5">
    <w:nsid w:val="5B213F9A"/>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nsid w:val="5B7B5377"/>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7">
    <w:nsid w:val="5B830D50"/>
    <w:multiLevelType w:val="multilevel"/>
    <w:tmpl w:val="EF146E1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8">
    <w:nsid w:val="67A74747"/>
    <w:multiLevelType w:val="multilevel"/>
    <w:tmpl w:val="66F2E588"/>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decimal"/>
      <w:lvlText w:val="%1.%2.%3."/>
      <w:lvlJc w:val="left"/>
      <w:pPr>
        <w:ind w:left="1080" w:hanging="720"/>
      </w:pPr>
      <w:rPr>
        <w:sz w:val="22"/>
        <w:szCs w:val="22"/>
      </w:rPr>
    </w:lvl>
    <w:lvl w:ilvl="3">
      <w:start w:val="1"/>
      <w:numFmt w:val="lowerLetter"/>
      <w:lvlText w:val="%4)"/>
      <w:lvlJc w:val="left"/>
      <w:pPr>
        <w:ind w:left="1440" w:hanging="1080"/>
      </w:pPr>
      <w:rPr>
        <w:b/>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9">
    <w:nsid w:val="6DB57BE0"/>
    <w:multiLevelType w:val="hybridMultilevel"/>
    <w:tmpl w:val="11706756"/>
    <w:lvl w:ilvl="0" w:tplc="E24AD774">
      <w:start w:val="1"/>
      <w:numFmt w:val="upperRoman"/>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0">
    <w:nsid w:val="71767B24"/>
    <w:multiLevelType w:val="multilevel"/>
    <w:tmpl w:val="D674ACE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1">
    <w:nsid w:val="72EF0923"/>
    <w:multiLevelType w:val="multilevel"/>
    <w:tmpl w:val="7EECC5A8"/>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2">
    <w:nsid w:val="754F3A08"/>
    <w:multiLevelType w:val="multilevel"/>
    <w:tmpl w:val="2D2C6F68"/>
    <w:lvl w:ilvl="0">
      <w:start w:val="6"/>
      <w:numFmt w:val="decimal"/>
      <w:lvlText w:val="%1."/>
      <w:lvlJc w:val="left"/>
      <w:pPr>
        <w:ind w:left="360" w:hanging="360"/>
      </w:pPr>
    </w:lvl>
    <w:lvl w:ilvl="1">
      <w:start w:val="4"/>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abstractNumId w:val="22"/>
  </w:num>
  <w:num w:numId="2">
    <w:abstractNumId w:val="30"/>
  </w:num>
  <w:num w:numId="3">
    <w:abstractNumId w:val="26"/>
  </w:num>
  <w:num w:numId="4">
    <w:abstractNumId w:val="38"/>
  </w:num>
  <w:num w:numId="5">
    <w:abstractNumId w:val="7"/>
  </w:num>
  <w:num w:numId="6">
    <w:abstractNumId w:val="34"/>
  </w:num>
  <w:num w:numId="7">
    <w:abstractNumId w:val="0"/>
  </w:num>
  <w:num w:numId="8">
    <w:abstractNumId w:val="10"/>
  </w:num>
  <w:num w:numId="9">
    <w:abstractNumId w:val="25"/>
  </w:num>
  <w:num w:numId="10">
    <w:abstractNumId w:val="16"/>
  </w:num>
  <w:num w:numId="11">
    <w:abstractNumId w:val="21"/>
  </w:num>
  <w:num w:numId="12">
    <w:abstractNumId w:val="41"/>
  </w:num>
  <w:num w:numId="13">
    <w:abstractNumId w:val="14"/>
  </w:num>
  <w:num w:numId="14">
    <w:abstractNumId w:val="32"/>
  </w:num>
  <w:num w:numId="15">
    <w:abstractNumId w:val="40"/>
  </w:num>
  <w:num w:numId="16">
    <w:abstractNumId w:val="1"/>
  </w:num>
  <w:num w:numId="17">
    <w:abstractNumId w:val="3"/>
  </w:num>
  <w:num w:numId="18">
    <w:abstractNumId w:val="6"/>
  </w:num>
  <w:num w:numId="19">
    <w:abstractNumId w:val="29"/>
  </w:num>
  <w:num w:numId="20">
    <w:abstractNumId w:val="37"/>
  </w:num>
  <w:num w:numId="21">
    <w:abstractNumId w:val="23"/>
  </w:num>
  <w:num w:numId="22">
    <w:abstractNumId w:val="5"/>
  </w:num>
  <w:num w:numId="23">
    <w:abstractNumId w:val="13"/>
  </w:num>
  <w:num w:numId="24">
    <w:abstractNumId w:val="24"/>
  </w:num>
  <w:num w:numId="25">
    <w:abstractNumId w:val="27"/>
  </w:num>
  <w:num w:numId="26">
    <w:abstractNumId w:val="42"/>
  </w:num>
  <w:num w:numId="27">
    <w:abstractNumId w:val="31"/>
  </w:num>
  <w:num w:numId="28">
    <w:abstractNumId w:val="2"/>
  </w:num>
  <w:num w:numId="29">
    <w:abstractNumId w:val="20"/>
  </w:num>
  <w:num w:numId="30">
    <w:abstractNumId w:val="39"/>
  </w:num>
  <w:num w:numId="31">
    <w:abstractNumId w:val="4"/>
  </w:num>
  <w:num w:numId="32">
    <w:abstractNumId w:val="17"/>
  </w:num>
  <w:num w:numId="33">
    <w:abstractNumId w:val="9"/>
  </w:num>
  <w:num w:numId="34">
    <w:abstractNumId w:val="15"/>
  </w:num>
  <w:num w:numId="35">
    <w:abstractNumId w:val="12"/>
  </w:num>
  <w:num w:numId="36">
    <w:abstractNumId w:val="35"/>
  </w:num>
  <w:num w:numId="37">
    <w:abstractNumId w:val="36"/>
  </w:num>
  <w:num w:numId="38">
    <w:abstractNumId w:val="18"/>
  </w:num>
  <w:num w:numId="39">
    <w:abstractNumId w:val="19"/>
  </w:num>
  <w:num w:numId="40">
    <w:abstractNumId w:val="33"/>
  </w:num>
  <w:num w:numId="41">
    <w:abstractNumId w:val="11"/>
  </w:num>
  <w:num w:numId="42">
    <w:abstractNumId w:val="8"/>
  </w:num>
  <w:num w:numId="43">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1ED9330-7598-437F-A211-150FC72CCF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Calibri" w:eastAsia="Calibri" w:hAnsi="Calibri" w:cs="Times New Roman"/>
      <w:kern w:val="0"/>
      <w:lang w:eastAsia="pt-BR"/>
      <w14:ligatures w14:val="none"/>
    </w:rPr>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semiHidden/>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unhideWhenUsed/>
    <w:qFormat/>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har"/>
    <w:uiPriority w:val="9"/>
    <w:unhideWhenUsed/>
    <w:qFormat/>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unhideWhenUsed/>
    <w:qFormat/>
    <w:pPr>
      <w:keepNext/>
      <w:keepLines/>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semiHidden/>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semiHidden/>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rPr>
      <w:rFonts w:eastAsiaTheme="majorEastAsia" w:cstheme="majorBidi"/>
      <w:color w:val="2F5496" w:themeColor="accent1" w:themeShade="BF"/>
    </w:rPr>
  </w:style>
  <w:style w:type="character" w:customStyle="1" w:styleId="Ttulo6Char">
    <w:name w:val="Título 6 Char"/>
    <w:basedOn w:val="Fontepargpadro"/>
    <w:link w:val="Ttulo6"/>
    <w:uiPriority w:val="9"/>
    <w:semiHidden/>
    <w:rPr>
      <w:rFonts w:eastAsiaTheme="majorEastAsia" w:cstheme="majorBidi"/>
      <w:i/>
      <w:iCs/>
      <w:color w:val="595959" w:themeColor="text1" w:themeTint="A6"/>
    </w:rPr>
  </w:style>
  <w:style w:type="character" w:customStyle="1" w:styleId="Ttulo7Char">
    <w:name w:val="Título 7 Char"/>
    <w:basedOn w:val="Fontepargpadro"/>
    <w:link w:val="Ttulo7"/>
    <w:uiPriority w:val="9"/>
    <w:rPr>
      <w:rFonts w:eastAsiaTheme="majorEastAsia" w:cstheme="majorBidi"/>
      <w:color w:val="595959" w:themeColor="text1" w:themeTint="A6"/>
    </w:rPr>
  </w:style>
  <w:style w:type="character" w:customStyle="1" w:styleId="Ttulo8Char">
    <w:name w:val="Título 8 Char"/>
    <w:basedOn w:val="Fontepargpadro"/>
    <w:link w:val="Ttulo8"/>
    <w:uiPriority w:val="9"/>
    <w:rPr>
      <w:rFonts w:eastAsiaTheme="majorEastAsia" w:cstheme="majorBidi"/>
      <w:i/>
      <w:iCs/>
      <w:color w:val="272727" w:themeColor="text1" w:themeTint="D8"/>
    </w:rPr>
  </w:style>
  <w:style w:type="character" w:customStyle="1" w:styleId="Ttulo9Char">
    <w:name w:val="Título 9 Char"/>
    <w:basedOn w:val="Fontepargpadro"/>
    <w:link w:val="Ttulo9"/>
    <w:uiPriority w:val="9"/>
    <w:rPr>
      <w:rFonts w:eastAsiaTheme="majorEastAsia" w:cstheme="majorBidi"/>
      <w:color w:val="272727" w:themeColor="text1" w:themeTint="D8"/>
    </w:rPr>
  </w:style>
  <w:style w:type="paragraph" w:styleId="Ttulo">
    <w:name w:val="Title"/>
    <w:basedOn w:val="Normal"/>
    <w:next w:val="Normal"/>
    <w:link w:val="TtuloChar"/>
    <w:uiPriority w:val="10"/>
    <w:qFormat/>
    <w:pPr>
      <w:spacing w:after="80"/>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Pr>
      <w:rFonts w:eastAsiaTheme="majorEastAsia" w:cstheme="majorBidi"/>
      <w:color w:val="595959" w:themeColor="text1" w:themeTint="A6"/>
      <w:spacing w:val="15"/>
      <w:sz w:val="28"/>
      <w:szCs w:val="28"/>
    </w:rPr>
  </w:style>
  <w:style w:type="paragraph" w:styleId="Citao">
    <w:name w:val="Quote"/>
    <w:basedOn w:val="Normal"/>
    <w:next w:val="Normal"/>
    <w:link w:val="CitaoChar"/>
    <w:qFormat/>
    <w:pPr>
      <w:spacing w:before="160"/>
      <w:jc w:val="center"/>
    </w:pPr>
    <w:rPr>
      <w:i/>
      <w:iCs/>
      <w:color w:val="404040" w:themeColor="text1" w:themeTint="BF"/>
    </w:rPr>
  </w:style>
  <w:style w:type="character" w:customStyle="1" w:styleId="CitaoChar">
    <w:name w:val="Citação Char"/>
    <w:basedOn w:val="Fontepargpadro"/>
    <w:link w:val="Citao"/>
    <w:rPr>
      <w:i/>
      <w:iCs/>
      <w:color w:val="404040" w:themeColor="text1" w:themeTint="BF"/>
    </w:rPr>
  </w:style>
  <w:style w:type="paragraph" w:styleId="PargrafodaLista">
    <w:name w:val="List Paragraph"/>
    <w:basedOn w:val="Normal"/>
    <w:link w:val="PargrafodaListaChar"/>
    <w:uiPriority w:val="34"/>
    <w:qFormat/>
    <w:pPr>
      <w:ind w:left="720"/>
      <w:contextualSpacing/>
    </w:pPr>
  </w:style>
  <w:style w:type="character" w:styleId="nfaseIntensa">
    <w:name w:val="Intense Emphasis"/>
    <w:basedOn w:val="Fontepargpadro"/>
    <w:uiPriority w:val="21"/>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 w:type="table" w:customStyle="1" w:styleId="TableNormal">
    <w:name w:val="Table Normal"/>
    <w:uiPriority w:val="2"/>
    <w:pPr>
      <w:spacing w:after="0" w:line="240" w:lineRule="auto"/>
    </w:pPr>
    <w:rPr>
      <w:rFonts w:ascii="Calibri" w:eastAsia="Calibri" w:hAnsi="Calibri" w:cs="Calibri"/>
      <w:kern w:val="0"/>
      <w:lang w:eastAsia="pt-BR"/>
      <w14:ligatures w14:val="none"/>
    </w:rPr>
    <w:tblPr>
      <w:tblCellMar>
        <w:top w:w="0" w:type="dxa"/>
        <w:left w:w="0" w:type="dxa"/>
        <w:bottom w:w="0" w:type="dxa"/>
        <w:right w:w="0" w:type="dxa"/>
      </w:tblCellMar>
    </w:tblPr>
  </w:style>
  <w:style w:type="paragraph" w:styleId="Cabealho">
    <w:name w:val="header"/>
    <w:aliases w:val="encabezado,hd,he,Char, Char,Ofício Circular,Cabeçalho superior,Heading 1a,h,HeaderNN,Header Char"/>
    <w:basedOn w:val="Normal"/>
    <w:link w:val="CabealhoChar"/>
    <w:pPr>
      <w:tabs>
        <w:tab w:val="center" w:pos="4419"/>
        <w:tab w:val="right" w:pos="8838"/>
      </w:tabs>
    </w:pPr>
    <w:rPr>
      <w:rFonts w:ascii="Times New Roman" w:eastAsia="Times New Roman" w:hAnsi="Times New Roman"/>
      <w:sz w:val="24"/>
      <w:szCs w:val="20"/>
    </w:rPr>
  </w:style>
  <w:style w:type="character" w:customStyle="1" w:styleId="CabealhoChar">
    <w:name w:val="Cabeçalho Char"/>
    <w:aliases w:val="encabezado Char,hd Char,he Char,Char Char, Char Char,Ofício Circular Char,Cabeçalho superior Char,Heading 1a Char,h Char,HeaderNN Char,Header Char Char"/>
    <w:basedOn w:val="Fontepargpadro"/>
    <w:link w:val="Cabealho"/>
    <w:qFormat/>
    <w:rPr>
      <w:rFonts w:ascii="Times New Roman" w:eastAsia="Times New Roman" w:hAnsi="Times New Roman" w:cs="Times New Roman"/>
      <w:kern w:val="0"/>
      <w:sz w:val="24"/>
      <w:szCs w:val="20"/>
      <w:lang w:eastAsia="pt-BR"/>
      <w14:ligatures w14:val="none"/>
    </w:rPr>
  </w:style>
  <w:style w:type="paragraph" w:styleId="Rodap">
    <w:name w:val="footer"/>
    <w:basedOn w:val="Normal"/>
    <w:link w:val="RodapChar"/>
    <w:pPr>
      <w:tabs>
        <w:tab w:val="center" w:pos="4419"/>
        <w:tab w:val="right" w:pos="8838"/>
      </w:tabs>
    </w:pPr>
    <w:rPr>
      <w:rFonts w:ascii="Times New Roman" w:eastAsia="Times New Roman" w:hAnsi="Times New Roman"/>
      <w:sz w:val="24"/>
      <w:szCs w:val="20"/>
    </w:rPr>
  </w:style>
  <w:style w:type="character" w:customStyle="1" w:styleId="RodapChar">
    <w:name w:val="Rodapé Char"/>
    <w:basedOn w:val="Fontepargpadro"/>
    <w:link w:val="Rodap"/>
    <w:rPr>
      <w:rFonts w:ascii="Times New Roman" w:eastAsia="Times New Roman" w:hAnsi="Times New Roman" w:cs="Times New Roman"/>
      <w:kern w:val="0"/>
      <w:sz w:val="24"/>
      <w:szCs w:val="20"/>
      <w:lang w:eastAsia="pt-BR"/>
      <w14:ligatures w14:val="none"/>
    </w:rPr>
  </w:style>
  <w:style w:type="paragraph" w:styleId="Corpodetexto2">
    <w:name w:val="Body Text 2"/>
    <w:basedOn w:val="Normal"/>
    <w:link w:val="Corpodetexto2Char"/>
    <w:pPr>
      <w:jc w:val="both"/>
    </w:pPr>
    <w:rPr>
      <w:rFonts w:ascii="Times New Roman" w:eastAsia="Times New Roman" w:hAnsi="Times New Roman"/>
      <w:sz w:val="28"/>
      <w:szCs w:val="20"/>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8"/>
      <w:szCs w:val="20"/>
      <w:lang w:eastAsia="pt-BR"/>
      <w14:ligatures w14:val="none"/>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ind w:firstLine="1985"/>
      <w:jc w:val="both"/>
    </w:pPr>
    <w:rPr>
      <w:rFonts w:ascii="Arial" w:eastAsia="Times New Roman" w:hAnsi="Arial"/>
      <w:spacing w:val="-3"/>
      <w:sz w:val="24"/>
      <w:szCs w:val="20"/>
    </w:rPr>
  </w:style>
  <w:style w:type="character" w:customStyle="1" w:styleId="RecuodecorpodetextoChar">
    <w:name w:val="Recuo de corpo de texto Char"/>
    <w:basedOn w:val="Fontepargpadro"/>
    <w:link w:val="Recuodecorpodetexto"/>
    <w:rPr>
      <w:rFonts w:ascii="Arial" w:eastAsia="Times New Roman" w:hAnsi="Arial" w:cs="Times New Roman"/>
      <w:spacing w:val="-3"/>
      <w:kern w:val="0"/>
      <w:sz w:val="24"/>
      <w:szCs w:val="20"/>
      <w:lang w:eastAsia="pt-BR"/>
      <w14:ligatures w14:val="none"/>
    </w:rPr>
  </w:style>
  <w:style w:type="paragraph" w:styleId="Recuodecorpodetexto3">
    <w:name w:val="Body Text Indent 3"/>
    <w:basedOn w:val="Normal"/>
    <w:link w:val="Recuodecorpodetexto3Char"/>
    <w:pPr>
      <w:ind w:left="1985"/>
      <w:jc w:val="both"/>
    </w:pPr>
    <w:rPr>
      <w:rFonts w:ascii="Arial" w:eastAsia="Times New Roman" w:hAnsi="Arial"/>
      <w:szCs w:val="20"/>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lang w:eastAsia="pt-BR"/>
      <w14:ligatures w14:val="none"/>
    </w:rPr>
  </w:style>
  <w:style w:type="paragraph" w:styleId="Recuodecorpodetexto2">
    <w:name w:val="Body Text Indent 2"/>
    <w:basedOn w:val="Normal"/>
    <w:link w:val="Recuodecorpodetexto2Char"/>
    <w:pPr>
      <w:ind w:firstLine="1985"/>
      <w:jc w:val="both"/>
    </w:pPr>
    <w:rPr>
      <w:rFonts w:ascii="Arial" w:eastAsia="Times New Roman" w:hAnsi="Arial"/>
      <w:color w:val="000000"/>
      <w:sz w:val="20"/>
      <w:szCs w:val="20"/>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kern w:val="0"/>
      <w:sz w:val="20"/>
      <w:szCs w:val="20"/>
      <w:lang w:eastAsia="pt-BR"/>
      <w14:ligatures w14:val="none"/>
    </w:rPr>
  </w:style>
  <w:style w:type="paragraph" w:styleId="Corpodetexto">
    <w:name w:val="Body Text"/>
    <w:basedOn w:val="Normal"/>
    <w:link w:val="CorpodetextoChar"/>
    <w:qFormat/>
    <w:pPr>
      <w:jc w:val="both"/>
    </w:pPr>
    <w:rPr>
      <w:rFonts w:ascii="Arial" w:eastAsia="Times New Roman" w:hAnsi="Arial"/>
      <w:szCs w:val="20"/>
    </w:rPr>
  </w:style>
  <w:style w:type="character" w:customStyle="1" w:styleId="CorpodetextoChar">
    <w:name w:val="Corpo de texto Char"/>
    <w:basedOn w:val="Fontepargpadro"/>
    <w:link w:val="Corpodetexto"/>
    <w:rPr>
      <w:rFonts w:ascii="Arial" w:eastAsia="Times New Roman" w:hAnsi="Arial" w:cs="Times New Roman"/>
      <w:kern w:val="0"/>
      <w:szCs w:val="20"/>
      <w:lang w:eastAsia="pt-BR"/>
      <w14:ligatures w14:val="none"/>
    </w:rPr>
  </w:style>
  <w:style w:type="paragraph" w:styleId="Corpodetexto3">
    <w:name w:val="Body Text 3"/>
    <w:basedOn w:val="Normal"/>
    <w:link w:val="Corpodetexto3Char"/>
    <w:rPr>
      <w:rFonts w:ascii="Times New Roman" w:eastAsia="Times New Roman" w:hAnsi="Times New Roman"/>
      <w:sz w:val="24"/>
      <w:szCs w:val="20"/>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24"/>
      <w:szCs w:val="20"/>
      <w:lang w:eastAsia="pt-BR"/>
      <w14:ligatures w14:val="none"/>
    </w:rPr>
  </w:style>
  <w:style w:type="paragraph" w:customStyle="1" w:styleId="Corpodetexto21">
    <w:name w:val="Corpo de texto 21"/>
    <w:basedOn w:val="Normal"/>
    <w:pPr>
      <w:ind w:firstLine="851"/>
      <w:jc w:val="both"/>
    </w:pPr>
    <w:rPr>
      <w:rFonts w:ascii="Arial" w:eastAsia="Times New Roman" w:hAnsi="Arial"/>
      <w:szCs w:val="20"/>
    </w:rPr>
  </w:style>
  <w:style w:type="character" w:styleId="Nmerodepgina">
    <w:name w:val="page number"/>
  </w:style>
  <w:style w:type="paragraph" w:customStyle="1" w:styleId="BodyText22">
    <w:name w:val="Body Text 22"/>
    <w:basedOn w:val="Normal"/>
    <w:pPr>
      <w:jc w:val="both"/>
    </w:pPr>
    <w:rPr>
      <w:rFonts w:ascii="Bookman Old Style" w:eastAsia="Times New Roman" w:hAnsi="Bookman Old Style"/>
      <w:color w:val="000000"/>
      <w:sz w:val="28"/>
      <w:szCs w:val="20"/>
    </w:rPr>
  </w:style>
  <w:style w:type="paragraph" w:styleId="Textoembloco">
    <w:name w:val="Block Text"/>
    <w:basedOn w:val="Normal"/>
    <w:uiPriority w:val="99"/>
    <w:pPr>
      <w:ind w:left="1701" w:right="3170"/>
      <w:jc w:val="both"/>
    </w:pPr>
    <w:rPr>
      <w:rFonts w:ascii="Times New Roman" w:eastAsia="Times New Roman" w:hAnsi="Times New Roman"/>
      <w:sz w:val="24"/>
      <w:szCs w:val="20"/>
    </w:rPr>
  </w:style>
  <w:style w:type="paragraph" w:customStyle="1" w:styleId="WW-Corpodetexto3">
    <w:name w:val="WW-Corpo de texto 3"/>
    <w:basedOn w:val="Normal"/>
    <w:pPr>
      <w:suppressAutoHyphens/>
      <w:spacing w:after="120"/>
    </w:pPr>
    <w:rPr>
      <w:rFonts w:ascii="Times New Roman" w:eastAsia="Times New Roman" w:hAnsi="Times New Roman"/>
      <w:sz w:val="16"/>
      <w:szCs w:val="16"/>
      <w:lang w:eastAsia="ar-SA"/>
    </w:rPr>
  </w:style>
  <w:style w:type="paragraph" w:customStyle="1" w:styleId="WW-Recuodecorpodetexto2">
    <w:name w:val="WW-Recuo de corpo de texto 2"/>
    <w:basedOn w:val="Normal"/>
    <w:pPr>
      <w:suppressAutoHyphens/>
      <w:ind w:left="2552" w:hanging="567"/>
      <w:jc w:val="both"/>
    </w:pPr>
    <w:rPr>
      <w:rFonts w:ascii="Times New Roman" w:eastAsia="Times New Roman" w:hAnsi="Times New Roman"/>
      <w:sz w:val="24"/>
      <w:szCs w:val="20"/>
      <w:lang w:eastAsia="ar-SA"/>
    </w:rPr>
  </w:style>
  <w:style w:type="paragraph" w:customStyle="1" w:styleId="WW-Recuodecorpodetexto21">
    <w:name w:val="WW-Recuo de corpo de texto 21"/>
    <w:basedOn w:val="Normal"/>
    <w:pPr>
      <w:suppressAutoHyphens/>
      <w:ind w:firstLine="1418"/>
      <w:jc w:val="both"/>
    </w:pPr>
    <w:rPr>
      <w:rFonts w:ascii="Arial" w:eastAsia="Times New Roman" w:hAnsi="Arial"/>
      <w:sz w:val="24"/>
      <w:szCs w:val="20"/>
      <w:lang w:eastAsia="ar-SA"/>
    </w:rPr>
  </w:style>
  <w:style w:type="paragraph" w:customStyle="1" w:styleId="parag-1">
    <w:name w:val="parag-1"/>
    <w:basedOn w:val="Normal"/>
    <w:pPr>
      <w:suppressAutoHyphens/>
      <w:jc w:val="both"/>
    </w:pPr>
    <w:rPr>
      <w:rFonts w:ascii="Times New Roman" w:eastAsia="Times New Roman" w:hAnsi="Times New Roman"/>
      <w:sz w:val="24"/>
      <w:szCs w:val="20"/>
      <w:lang w:eastAsia="ar-SA"/>
    </w:rPr>
  </w:style>
  <w:style w:type="paragraph" w:customStyle="1" w:styleId="WW-Recuodecorpodetexto3">
    <w:name w:val="WW-Recuo de corpo de texto 3"/>
    <w:basedOn w:val="Normal"/>
    <w:pPr>
      <w:suppressAutoHyphens/>
      <w:ind w:left="1418"/>
      <w:jc w:val="both"/>
    </w:pPr>
    <w:rPr>
      <w:rFonts w:ascii="Times New Roman" w:eastAsia="Times New Roman" w:hAnsi="Times New Roman"/>
      <w:sz w:val="24"/>
      <w:szCs w:val="20"/>
      <w:lang w:eastAsia="ar-SA"/>
    </w:rPr>
  </w:style>
  <w:style w:type="paragraph" w:customStyle="1" w:styleId="WW-Textoembloco">
    <w:name w:val="WW-Texto em bloco"/>
    <w:basedOn w:val="Normal"/>
    <w:pPr>
      <w:suppressAutoHyphens/>
      <w:ind w:left="1701" w:right="3170"/>
      <w:jc w:val="both"/>
    </w:pPr>
    <w:rPr>
      <w:rFonts w:ascii="Times New Roman" w:eastAsia="Times New Roman" w:hAnsi="Times New Roman"/>
      <w:sz w:val="24"/>
      <w:szCs w:val="20"/>
      <w:lang w:eastAsia="ar-SA"/>
    </w:rPr>
  </w:style>
  <w:style w:type="paragraph" w:customStyle="1" w:styleId="WW-Corpodetexto2">
    <w:name w:val="WW-Corpo de texto 2"/>
    <w:basedOn w:val="Normal"/>
    <w:uiPriority w:val="99"/>
    <w:pPr>
      <w:tabs>
        <w:tab w:val="left" w:leader="underscore" w:pos="8789"/>
      </w:tabs>
      <w:suppressAutoHyphens/>
      <w:jc w:val="both"/>
    </w:pPr>
    <w:rPr>
      <w:rFonts w:ascii="Times New Roman" w:eastAsia="Times New Roman" w:hAnsi="Times New Roman"/>
      <w:sz w:val="24"/>
      <w:szCs w:val="20"/>
      <w:lang w:eastAsia="ar-SA"/>
    </w:rPr>
  </w:style>
  <w:style w:type="paragraph" w:customStyle="1" w:styleId="Contedodatabela">
    <w:name w:val="Conteúdo da tabela"/>
    <w:basedOn w:val="Normal"/>
    <w:pPr>
      <w:suppressLineNumbers/>
      <w:suppressAutoHyphens/>
    </w:pPr>
    <w:rPr>
      <w:rFonts w:ascii="Times New Roman" w:eastAsia="Times New Roman" w:hAnsi="Times New Roman"/>
      <w:sz w:val="20"/>
      <w:szCs w:val="20"/>
      <w:lang w:eastAsia="ar-SA"/>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paragraph" w:styleId="NormalWeb">
    <w:name w:val="Normal (Web)"/>
    <w:basedOn w:val="Normal"/>
    <w:uiPriority w:val="99"/>
    <w:unhideWhenUsed/>
    <w:pPr>
      <w:spacing w:before="100" w:beforeAutospacing="1" w:after="100" w:afterAutospacing="1"/>
    </w:pPr>
    <w:rPr>
      <w:rFonts w:ascii="Times New Roman" w:eastAsia="Times New Roman" w:hAnsi="Times New Roman"/>
      <w:sz w:val="24"/>
      <w:szCs w:val="24"/>
    </w:rPr>
  </w:style>
  <w:style w:type="character" w:customStyle="1" w:styleId="WW8Num49z0">
    <w:name w:val="WW8Num49z0"/>
    <w:rPr>
      <w:rFonts w:ascii="Times New Roman" w:hAnsi="Times New Roman"/>
    </w:rPr>
  </w:style>
  <w:style w:type="character" w:styleId="Hyperlink">
    <w:name w:val="Hyperlink"/>
    <w:uiPriority w:val="99"/>
    <w:rPr>
      <w:rFonts w:cs="Times New Roman"/>
      <w:color w:val="990000"/>
      <w:u w:val="single"/>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kern w:val="2"/>
      <w:sz w:val="16"/>
      <w:szCs w:val="16"/>
      <w:lang w:eastAsia="en-US"/>
      <w14:ligatures w14:val="standardContextual"/>
    </w:rPr>
  </w:style>
  <w:style w:type="character" w:customStyle="1" w:styleId="TextodebaloChar1">
    <w:name w:val="Texto de balão Char1"/>
    <w:basedOn w:val="Fontepargpadro"/>
    <w:uiPriority w:val="99"/>
    <w:semiHidden/>
    <w:rPr>
      <w:rFonts w:ascii="Segoe UI" w:eastAsia="Calibri" w:hAnsi="Segoe UI" w:cs="Segoe UI"/>
      <w:kern w:val="0"/>
      <w:sz w:val="18"/>
      <w:szCs w:val="18"/>
      <w:lang w:eastAsia="pt-BR"/>
      <w14:ligatures w14:val="none"/>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sz w:val="20"/>
      <w:szCs w:val="20"/>
    </w:rPr>
  </w:style>
  <w:style w:type="paragraph" w:customStyle="1" w:styleId="Recuodecorpodetexto1">
    <w:name w:val="Recuo de corpo de texto1"/>
    <w:basedOn w:val="Normal"/>
    <w:link w:val="BodyTextIndentChar"/>
    <w:pPr>
      <w:numPr>
        <w:ilvl w:val="1"/>
        <w:numId w:val="1"/>
      </w:numPr>
      <w:spacing w:after="120" w:line="276" w:lineRule="auto"/>
      <w:ind w:left="283" w:firstLine="0"/>
    </w:pPr>
    <w:rPr>
      <w:rFonts w:eastAsia="Times New Roman"/>
    </w:rPr>
  </w:style>
  <w:style w:type="character" w:customStyle="1" w:styleId="BodyTextIndentChar">
    <w:name w:val="Body Text Indent Char"/>
    <w:link w:val="Recuodecorpodetexto1"/>
    <w:rPr>
      <w:rFonts w:ascii="Calibri" w:eastAsia="Times New Roman" w:hAnsi="Calibri" w:cs="Times New Roman"/>
      <w:kern w:val="0"/>
      <w:lang w:eastAsia="pt-BR"/>
      <w14:ligatures w14:val="none"/>
    </w:rPr>
  </w:style>
  <w:style w:type="paragraph" w:customStyle="1" w:styleId="p2">
    <w:name w:val="p2"/>
    <w:basedOn w:val="Normal"/>
    <w:pPr>
      <w:widowControl w:val="0"/>
      <w:tabs>
        <w:tab w:val="left" w:pos="720"/>
      </w:tabs>
      <w:spacing w:after="200" w:line="280" w:lineRule="atLeast"/>
    </w:pPr>
    <w:rPr>
      <w:rFonts w:eastAsia="Times New Roman"/>
      <w:szCs w:val="20"/>
    </w:rPr>
  </w:style>
  <w:style w:type="paragraph" w:styleId="SemEspaamento">
    <w:name w:val="No Spacing"/>
    <w:link w:val="SemEspaamentoChar"/>
    <w:uiPriority w:val="1"/>
    <w:qFormat/>
    <w:pPr>
      <w:spacing w:after="0" w:line="240" w:lineRule="auto"/>
    </w:pPr>
    <w:rPr>
      <w:rFonts w:ascii="Calibri" w:eastAsia="Times New Roman" w:hAnsi="Calibri" w:cs="Times New Roman"/>
      <w:kern w:val="0"/>
      <w:lang w:eastAsia="pt-BR"/>
      <w14:ligatures w14:val="none"/>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kern w:val="0"/>
      <w:sz w:val="20"/>
      <w:szCs w:val="20"/>
      <w:lang w:eastAsia="pt-BR"/>
      <w14:ligatures w14:val="none"/>
    </w:rPr>
  </w:style>
  <w:style w:type="paragraph" w:customStyle="1" w:styleId="WW-Recuodecorpodetexto31">
    <w:name w:val="WW-Recuo de corpo de texto 31"/>
    <w:basedOn w:val="Normal"/>
    <w:uiPriority w:val="99"/>
    <w:pPr>
      <w:suppressAutoHyphens/>
      <w:ind w:firstLine="567"/>
      <w:jc w:val="both"/>
    </w:pPr>
    <w:rPr>
      <w:rFonts w:ascii="Arial" w:eastAsia="Times New Roman" w:hAnsi="Arial"/>
      <w:sz w:val="20"/>
      <w:szCs w:val="24"/>
    </w:rPr>
  </w:style>
  <w:style w:type="paragraph" w:styleId="Lista">
    <w:name w:val="List"/>
    <w:basedOn w:val="Normal"/>
    <w:pPr>
      <w:suppressAutoHyphens/>
      <w:ind w:left="283" w:hanging="283"/>
    </w:pPr>
    <w:rPr>
      <w:rFonts w:ascii="Arial" w:eastAsia="Times New Roman" w:hAnsi="Arial"/>
      <w:sz w:val="24"/>
      <w:szCs w:val="20"/>
      <w:lang w:eastAsia="ar-SA"/>
    </w:rPr>
  </w:style>
  <w:style w:type="paragraph" w:customStyle="1" w:styleId="style10">
    <w:name w:val="style10"/>
    <w:basedOn w:val="Normal"/>
    <w:pPr>
      <w:spacing w:before="100" w:beforeAutospacing="1" w:after="100" w:afterAutospacing="1"/>
    </w:pPr>
    <w:rPr>
      <w:rFonts w:ascii="Verdana" w:eastAsia="Times New Roman" w:hAnsi="Verdana"/>
      <w:sz w:val="17"/>
      <w:szCs w:val="17"/>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pPr>
    <w:rPr>
      <w:rFonts w:ascii="Arial" w:eastAsia="Times New Roman" w:hAnsi="Arial"/>
      <w:sz w:val="24"/>
      <w:szCs w:val="20"/>
      <w:lang w:eastAsia="ar-SA"/>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kern w:val="0"/>
      <w:sz w:val="24"/>
      <w:szCs w:val="20"/>
      <w:lang w:eastAsia="ar-SA"/>
      <w14:ligatures w14:val="none"/>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ind w:left="566" w:hanging="283"/>
    </w:pPr>
    <w:rPr>
      <w:rFonts w:ascii="Times New Roman" w:eastAsia="Times New Roman" w:hAnsi="Times New Roman"/>
      <w:sz w:val="20"/>
      <w:szCs w:val="20"/>
      <w:lang w:val="pt-PT"/>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pacing w:before="180"/>
      <w:ind w:left="709" w:hanging="709"/>
      <w:jc w:val="both"/>
    </w:pPr>
    <w:rPr>
      <w:rFonts w:ascii="Arial" w:eastAsia="Times New Roman" w:hAnsi="Arial"/>
      <w:color w:val="000000"/>
      <w:sz w:val="24"/>
      <w:szCs w:val="20"/>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pacing w:before="180"/>
      <w:ind w:left="993" w:hanging="709"/>
      <w:jc w:val="both"/>
    </w:pPr>
    <w:rPr>
      <w:rFonts w:ascii="Arial" w:eastAsia="Times New Roman" w:hAnsi="Arial"/>
      <w:sz w:val="26"/>
      <w:szCs w:val="20"/>
      <w:lang w:val="pt-PT"/>
    </w:rPr>
  </w:style>
  <w:style w:type="paragraph" w:customStyle="1" w:styleId="tit3">
    <w:name w:val="tit_3"/>
    <w:basedOn w:val="Normal"/>
    <w:pPr>
      <w:spacing w:before="180"/>
      <w:ind w:left="1701" w:hanging="992"/>
      <w:jc w:val="both"/>
    </w:pPr>
    <w:rPr>
      <w:rFonts w:ascii="Courier New" w:eastAsia="Times New Roman" w:hAnsi="Courier New"/>
      <w:sz w:val="24"/>
      <w:szCs w:val="20"/>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ind w:firstLine="1701"/>
      <w:jc w:val="both"/>
    </w:pPr>
    <w:rPr>
      <w:rFonts w:ascii="Arial" w:eastAsia="Times New Roman" w:hAnsi="Arial"/>
      <w:szCs w:val="20"/>
      <w:lang w:val="pt-PT"/>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pacing w:before="180"/>
      <w:ind w:left="1418" w:hanging="851"/>
      <w:jc w:val="both"/>
    </w:pPr>
    <w:rPr>
      <w:rFonts w:ascii="Arial" w:eastAsia="Times New Roman" w:hAnsi="Arial"/>
      <w:szCs w:val="20"/>
      <w:lang w:val="pt-PT"/>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pacing w:before="120"/>
      <w:ind w:left="993" w:hanging="284"/>
      <w:jc w:val="both"/>
    </w:pPr>
    <w:rPr>
      <w:rFonts w:ascii="Arial" w:eastAsia="Times New Roman" w:hAnsi="Arial"/>
      <w:color w:val="000000"/>
      <w:sz w:val="24"/>
      <w:szCs w:val="20"/>
    </w:rPr>
  </w:style>
  <w:style w:type="paragraph" w:customStyle="1" w:styleId="marc1">
    <w:name w:val="marc_1"/>
    <w:basedOn w:val="Normal"/>
    <w:pPr>
      <w:spacing w:before="180"/>
      <w:ind w:left="1134" w:hanging="431"/>
      <w:jc w:val="both"/>
    </w:pPr>
    <w:rPr>
      <w:rFonts w:ascii="Courier New" w:eastAsia="Times New Roman" w:hAnsi="Courier New"/>
      <w:sz w:val="24"/>
      <w:szCs w:val="20"/>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rPr>
      <w:rFonts w:ascii="Courier New" w:eastAsia="Times New Roman" w:hAnsi="Courier New"/>
      <w:sz w:val="20"/>
      <w:szCs w:val="20"/>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lang w:eastAsia="pt-BR"/>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outlineLvl w:val="6"/>
    </w:pPr>
    <w:rPr>
      <w:rFonts w:ascii="Times New Roman" w:eastAsia="Times New Roman" w:hAnsi="Times New Roman"/>
      <w:b/>
      <w:snapToGrid w:val="0"/>
      <w:sz w:val="16"/>
      <w:szCs w:val="20"/>
    </w:rPr>
  </w:style>
  <w:style w:type="paragraph" w:customStyle="1" w:styleId="DefinitionTerm">
    <w:name w:val="Definition Term"/>
    <w:basedOn w:val="Normal"/>
    <w:next w:val="DefinitionList"/>
    <w:pPr>
      <w:widowControl w:val="0"/>
    </w:pPr>
    <w:rPr>
      <w:rFonts w:ascii="Times New Roman" w:eastAsia="Times New Roman" w:hAnsi="Times New Roman"/>
      <w:snapToGrid w:val="0"/>
      <w:sz w:val="24"/>
      <w:szCs w:val="20"/>
    </w:rPr>
  </w:style>
  <w:style w:type="paragraph" w:customStyle="1" w:styleId="DefinitionList">
    <w:name w:val="Definition List"/>
    <w:basedOn w:val="Normal"/>
    <w:next w:val="DefinitionTerm"/>
    <w:pPr>
      <w:widowControl w:val="0"/>
      <w:ind w:left="360"/>
    </w:pPr>
    <w:rPr>
      <w:rFonts w:ascii="Times New Roman" w:eastAsia="Times New Roman" w:hAnsi="Times New Roman"/>
      <w:snapToGrid w:val="0"/>
      <w:sz w:val="24"/>
      <w:szCs w:val="20"/>
    </w:rPr>
  </w:style>
  <w:style w:type="character" w:customStyle="1" w:styleId="Definition">
    <w:name w:val="Definition"/>
    <w:rPr>
      <w:i/>
    </w:rPr>
  </w:style>
  <w:style w:type="paragraph" w:customStyle="1" w:styleId="H1">
    <w:name w:val="H1"/>
    <w:basedOn w:val="Normal"/>
    <w:next w:val="Normal"/>
    <w:pPr>
      <w:keepNext/>
      <w:widowControl w:val="0"/>
      <w:spacing w:before="100" w:after="100"/>
      <w:outlineLvl w:val="1"/>
    </w:pPr>
    <w:rPr>
      <w:rFonts w:ascii="Times New Roman" w:eastAsia="Times New Roman" w:hAnsi="Times New Roman"/>
      <w:b/>
      <w:snapToGrid w:val="0"/>
      <w:kern w:val="36"/>
      <w:sz w:val="48"/>
      <w:szCs w:val="20"/>
    </w:rPr>
  </w:style>
  <w:style w:type="paragraph" w:customStyle="1" w:styleId="H2">
    <w:name w:val="H2"/>
    <w:basedOn w:val="Normal"/>
    <w:next w:val="Normal"/>
    <w:pPr>
      <w:keepNext/>
      <w:widowControl w:val="0"/>
      <w:spacing w:before="100" w:after="100"/>
      <w:outlineLvl w:val="2"/>
    </w:pPr>
    <w:rPr>
      <w:rFonts w:ascii="Times New Roman" w:eastAsia="Times New Roman" w:hAnsi="Times New Roman"/>
      <w:b/>
      <w:snapToGrid w:val="0"/>
      <w:sz w:val="36"/>
      <w:szCs w:val="20"/>
    </w:rPr>
  </w:style>
  <w:style w:type="paragraph" w:customStyle="1" w:styleId="H3">
    <w:name w:val="H3"/>
    <w:basedOn w:val="Normal"/>
    <w:next w:val="Normal"/>
    <w:pPr>
      <w:keepNext/>
      <w:widowControl w:val="0"/>
      <w:spacing w:before="100" w:after="100"/>
      <w:outlineLvl w:val="3"/>
    </w:pPr>
    <w:rPr>
      <w:rFonts w:ascii="Times New Roman" w:eastAsia="Times New Roman" w:hAnsi="Times New Roman"/>
      <w:b/>
      <w:snapToGrid w:val="0"/>
      <w:sz w:val="28"/>
      <w:szCs w:val="20"/>
    </w:rPr>
  </w:style>
  <w:style w:type="paragraph" w:customStyle="1" w:styleId="H4">
    <w:name w:val="H4"/>
    <w:basedOn w:val="Normal"/>
    <w:next w:val="Normal"/>
    <w:pPr>
      <w:keepNext/>
      <w:widowControl w:val="0"/>
      <w:spacing w:before="100" w:after="100"/>
      <w:outlineLvl w:val="4"/>
    </w:pPr>
    <w:rPr>
      <w:rFonts w:ascii="Times New Roman" w:eastAsia="Times New Roman" w:hAnsi="Times New Roman"/>
      <w:b/>
      <w:snapToGrid w:val="0"/>
      <w:sz w:val="24"/>
      <w:szCs w:val="20"/>
    </w:rPr>
  </w:style>
  <w:style w:type="paragraph" w:customStyle="1" w:styleId="H5">
    <w:name w:val="H5"/>
    <w:basedOn w:val="Normal"/>
    <w:next w:val="Normal"/>
    <w:pPr>
      <w:keepNext/>
      <w:widowControl w:val="0"/>
      <w:spacing w:before="100" w:after="100"/>
      <w:outlineLvl w:val="5"/>
    </w:pPr>
    <w:rPr>
      <w:rFonts w:ascii="Times New Roman" w:eastAsia="Times New Roman" w:hAnsi="Times New Roman"/>
      <w:b/>
      <w:snapToGrid w:val="0"/>
      <w:sz w:val="20"/>
      <w:szCs w:val="20"/>
    </w:rPr>
  </w:style>
  <w:style w:type="paragraph" w:customStyle="1" w:styleId="Address">
    <w:name w:val="Address"/>
    <w:basedOn w:val="Normal"/>
    <w:next w:val="Normal"/>
    <w:pPr>
      <w:widowControl w:val="0"/>
    </w:pPr>
    <w:rPr>
      <w:rFonts w:ascii="Times New Roman" w:eastAsia="Times New Roman" w:hAnsi="Times New Roman"/>
      <w:i/>
      <w:snapToGrid w:val="0"/>
      <w:sz w:val="24"/>
      <w:szCs w:val="20"/>
    </w:rPr>
  </w:style>
  <w:style w:type="paragraph" w:customStyle="1" w:styleId="Blockquote">
    <w:name w:val="Blockquote"/>
    <w:basedOn w:val="Normal"/>
    <w:pPr>
      <w:widowControl w:val="0"/>
      <w:spacing w:before="100" w:after="100"/>
      <w:ind w:left="360" w:right="360"/>
    </w:pPr>
    <w:rPr>
      <w:rFonts w:ascii="Times New Roman" w:eastAsia="Times New Roman" w:hAnsi="Times New Roman"/>
      <w:snapToGrid w:val="0"/>
      <w:sz w:val="24"/>
      <w:szCs w:val="20"/>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snapToGrid w:val="0"/>
      <w:sz w:val="20"/>
      <w:szCs w:val="20"/>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jc w:val="both"/>
    </w:pPr>
    <w:rPr>
      <w:rFonts w:ascii="Arial" w:eastAsia="Times New Roman" w:hAnsi="Arial"/>
      <w:sz w:val="24"/>
      <w:szCs w:val="20"/>
      <w:lang w:eastAsia="ar-SA"/>
    </w:rPr>
  </w:style>
  <w:style w:type="paragraph" w:customStyle="1" w:styleId="Recuodecorpodetexto21">
    <w:name w:val="Recuo de corpo de texto 21"/>
    <w:basedOn w:val="Normal"/>
    <w:pPr>
      <w:suppressAutoHyphens/>
      <w:ind w:left="3828"/>
      <w:jc w:val="both"/>
    </w:pPr>
    <w:rPr>
      <w:rFonts w:ascii="Arial" w:eastAsia="Times New Roman" w:hAnsi="Arial"/>
      <w:b/>
      <w:color w:val="000000"/>
      <w:szCs w:val="20"/>
      <w:lang w:eastAsia="ar-SA"/>
    </w:rPr>
  </w:style>
  <w:style w:type="paragraph" w:customStyle="1" w:styleId="Textoembloco1">
    <w:name w:val="Texto em bloco1"/>
    <w:basedOn w:val="Normal"/>
    <w:pPr>
      <w:suppressAutoHyphens/>
      <w:ind w:left="3402" w:right="23"/>
      <w:jc w:val="both"/>
    </w:pPr>
    <w:rPr>
      <w:rFonts w:ascii="Times New Roman" w:eastAsia="Times New Roman" w:hAnsi="Times New Roman"/>
      <w:b/>
      <w:szCs w:val="20"/>
      <w:lang w:eastAsia="ar-SA"/>
    </w:rPr>
  </w:style>
  <w:style w:type="paragraph" w:customStyle="1" w:styleId="p41">
    <w:name w:val="p41"/>
    <w:basedOn w:val="Normal"/>
    <w:pPr>
      <w:widowControl w:val="0"/>
      <w:tabs>
        <w:tab w:val="left" w:pos="660"/>
        <w:tab w:val="left" w:pos="1120"/>
      </w:tabs>
      <w:suppressAutoHyphens/>
      <w:spacing w:line="280" w:lineRule="atLeast"/>
      <w:ind w:left="1440" w:firstLine="720"/>
      <w:jc w:val="both"/>
    </w:pPr>
    <w:rPr>
      <w:rFonts w:ascii="Times New Roman" w:eastAsia="Times New Roman" w:hAnsi="Times New Roman"/>
      <w:sz w:val="24"/>
      <w:szCs w:val="20"/>
      <w:lang w:eastAsia="ar-SA"/>
    </w:rPr>
  </w:style>
  <w:style w:type="paragraph" w:customStyle="1" w:styleId="Recuodecorpodetexto31">
    <w:name w:val="Recuo de corpo de texto 31"/>
    <w:basedOn w:val="Normal"/>
    <w:pPr>
      <w:suppressAutoHyphens/>
      <w:spacing w:after="120"/>
      <w:ind w:left="283"/>
    </w:pPr>
    <w:rPr>
      <w:rFonts w:ascii="Times New Roman" w:eastAsia="Times New Roman" w:hAnsi="Times New Roman"/>
      <w:sz w:val="16"/>
      <w:szCs w:val="16"/>
    </w:rPr>
  </w:style>
  <w:style w:type="paragraph" w:customStyle="1" w:styleId="Corpodetexto211">
    <w:name w:val="Corpo de texto 211"/>
    <w:basedOn w:val="Normal"/>
    <w:uiPriority w:val="99"/>
    <w:pPr>
      <w:suppressAutoHyphens/>
      <w:spacing w:line="360" w:lineRule="auto"/>
      <w:jc w:val="both"/>
    </w:pPr>
    <w:rPr>
      <w:rFonts w:ascii="Courier New" w:eastAsia="Times New Roman" w:hAnsi="Courier New"/>
      <w:color w:val="000000"/>
      <w:szCs w:val="20"/>
    </w:rPr>
  </w:style>
  <w:style w:type="paragraph" w:customStyle="1" w:styleId="contrato">
    <w:name w:val="contrato"/>
    <w:basedOn w:val="Normal"/>
    <w:pPr>
      <w:jc w:val="both"/>
    </w:pPr>
    <w:rPr>
      <w:rFonts w:ascii="Arial" w:eastAsia="Times New Roman" w:hAnsi="Arial"/>
      <w:szCs w:val="20"/>
      <w:lang w:val="pt-PT" w:eastAsia="ar-SA"/>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spacing w:after="0" w:line="240" w:lineRule="auto"/>
      <w:textAlignment w:val="baseline"/>
    </w:pPr>
    <w:rPr>
      <w:rFonts w:ascii="Times New Roman" w:eastAsia="Times New Roman" w:hAnsi="Times New Roman" w:cs="Times New Roman"/>
      <w:kern w:val="3"/>
      <w:sz w:val="24"/>
      <w:szCs w:val="24"/>
      <w:lang w:eastAsia="pt-BR"/>
      <w14:ligatures w14:val="none"/>
    </w:rPr>
  </w:style>
  <w:style w:type="table" w:styleId="Tabelacomgrade">
    <w:name w:val="Table Grid"/>
    <w:basedOn w:val="Tabelanormal"/>
    <w:uiPriority w:val="59"/>
    <w:pPr>
      <w:spacing w:after="0" w:line="240" w:lineRule="auto"/>
    </w:pPr>
    <w:rPr>
      <w:rFonts w:ascii="Times New Roman" w:eastAsia="Times New Roman" w:hAnsi="Times New Roman" w:cs="Times New Roman"/>
      <w:kern w:val="0"/>
      <w:sz w:val="20"/>
      <w:szCs w:val="2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pPr>
    <w:rPr>
      <w:rFonts w:ascii="Arial" w:eastAsia="Times New Roman" w:hAnsi="Arial" w:cs="Arial"/>
      <w:b/>
      <w:bCs/>
      <w:sz w:val="24"/>
      <w:szCs w:val="24"/>
      <w:lang w:eastAsia="ar-SA"/>
    </w:rPr>
  </w:style>
  <w:style w:type="paragraph" w:customStyle="1" w:styleId="Normal1">
    <w:name w:val="Normal1"/>
    <w:basedOn w:val="Normal"/>
    <w:pPr>
      <w:widowControl w:val="0"/>
      <w:suppressAutoHyphens/>
      <w:autoSpaceDE w:val="0"/>
    </w:pPr>
    <w:rPr>
      <w:rFonts w:ascii="Verdana-Bold" w:hAnsi="Verdana-Bold" w:cs="Verdana-Bold"/>
      <w:sz w:val="20"/>
      <w:szCs w:val="20"/>
      <w:lang w:eastAsia="ar-SA"/>
    </w:rPr>
  </w:style>
  <w:style w:type="paragraph" w:customStyle="1" w:styleId="Corpodetexto22">
    <w:name w:val="Corpo de texto 22"/>
    <w:basedOn w:val="Normal"/>
    <w:uiPriority w:val="99"/>
    <w:pPr>
      <w:ind w:hanging="1134"/>
      <w:jc w:val="both"/>
    </w:pPr>
    <w:rPr>
      <w:rFonts w:ascii="Arial" w:eastAsia="Times New Roman" w:hAnsi="Arial" w:cs="Arial"/>
      <w:kern w:val="1"/>
      <w:sz w:val="20"/>
      <w:szCs w:val="20"/>
      <w:lang w:eastAsia="ar-SA"/>
    </w:rPr>
  </w:style>
  <w:style w:type="paragraph" w:customStyle="1" w:styleId="WW-Default">
    <w:name w:val="WW-Default"/>
    <w:basedOn w:val="Normal"/>
    <w:uiPriority w:val="99"/>
    <w:pPr>
      <w:widowControl w:val="0"/>
      <w:suppressAutoHyphens/>
      <w:autoSpaceDE w:val="0"/>
    </w:pPr>
    <w:rPr>
      <w:rFonts w:ascii="Verdana-Bold" w:eastAsia="Times New Roman" w:hAnsi="Verdana-Bold" w:cs="Verdana-Bold"/>
      <w:kern w:val="1"/>
      <w:sz w:val="20"/>
      <w:szCs w:val="20"/>
      <w:lang w:eastAsia="ar-SA"/>
    </w:rPr>
  </w:style>
  <w:style w:type="character" w:styleId="HiperlinkVisitado">
    <w:name w:val="FollowedHyperlink"/>
    <w:basedOn w:val="Fontepargpadro"/>
    <w:uiPriority w:val="99"/>
    <w:semiHidden/>
    <w:unhideWhenUsed/>
    <w:rPr>
      <w:color w:val="954F72" w:themeColor="followedHyperlink"/>
      <w:u w:val="single"/>
    </w:rPr>
  </w:style>
  <w:style w:type="paragraph" w:customStyle="1" w:styleId="msonormal0">
    <w:name w:val="msonormal"/>
    <w:basedOn w:val="Normal"/>
    <w:uiPriority w:val="99"/>
    <w:pPr>
      <w:spacing w:before="100" w:beforeAutospacing="1" w:after="100" w:afterAutospacing="1"/>
    </w:pPr>
    <w:rPr>
      <w:rFonts w:ascii="Times New Roman" w:eastAsia="Times New Roman" w:hAnsi="Times New Roman"/>
      <w:sz w:val="24"/>
      <w:szCs w:val="24"/>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TableParagraph">
    <w:name w:val="Table Paragraph"/>
    <w:basedOn w:val="Normal"/>
    <w:uiPriority w:val="1"/>
    <w:qFormat/>
    <w:pPr>
      <w:widowControl w:val="0"/>
    </w:pPr>
    <w:rPr>
      <w:rFonts w:asciiTheme="minorHAnsi" w:eastAsiaTheme="minorHAnsi" w:hAnsiTheme="minorHAnsi" w:cstheme="minorBidi"/>
      <w:lang w:val="en-US"/>
    </w:rPr>
  </w:style>
  <w:style w:type="paragraph" w:customStyle="1" w:styleId="Item111">
    <w:name w:val="Item 1.1.1"/>
    <w:basedOn w:val="Normal"/>
    <w:uiPriority w:val="99"/>
    <w:pPr>
      <w:widowControl w:val="0"/>
      <w:tabs>
        <w:tab w:val="left" w:pos="2127"/>
        <w:tab w:val="left" w:pos="3119"/>
      </w:tabs>
      <w:autoSpaceDE w:val="0"/>
      <w:spacing w:before="120"/>
      <w:jc w:val="both"/>
    </w:pPr>
    <w:rPr>
      <w:rFonts w:ascii="Arial" w:eastAsia="Times New Roman" w:hAnsi="Arial"/>
      <w:szCs w:val="20"/>
      <w:lang w:eastAsia="ar-SA"/>
    </w:rPr>
  </w:style>
  <w:style w:type="paragraph" w:customStyle="1" w:styleId="textbody">
    <w:name w:val="textbody"/>
    <w:basedOn w:val="Normal"/>
    <w:uiPriority w:val="99"/>
    <w:pPr>
      <w:spacing w:before="100" w:beforeAutospacing="1" w:after="100" w:afterAutospacing="1"/>
    </w:pPr>
    <w:rPr>
      <w:rFonts w:ascii="Times New Roman" w:eastAsia="Times New Roman" w:hAnsi="Times New Roman"/>
      <w:sz w:val="24"/>
      <w:szCs w:val="24"/>
    </w:rPr>
  </w:style>
  <w:style w:type="paragraph" w:customStyle="1" w:styleId="Cabealhoencabezado">
    <w:name w:val="Cabeçalho.encabezado"/>
    <w:basedOn w:val="Normal"/>
    <w:pPr>
      <w:tabs>
        <w:tab w:val="center" w:pos="4419"/>
        <w:tab w:val="right" w:pos="8838"/>
      </w:tabs>
      <w:suppressAutoHyphens/>
    </w:pPr>
    <w:rPr>
      <w:rFonts w:ascii="Arial" w:eastAsia="Times New Roman" w:hAnsi="Arial"/>
      <w:sz w:val="24"/>
      <w:szCs w:val="20"/>
      <w:lang w:eastAsia="ar-SA"/>
    </w:rPr>
  </w:style>
  <w:style w:type="paragraph" w:customStyle="1" w:styleId="NormalCourierNew">
    <w:name w:val="Normal + Courier New"/>
    <w:aliases w:val="Justificado,À direita:  -0,96 cm"/>
    <w:basedOn w:val="Normal"/>
    <w:uiPriority w:val="99"/>
    <w:pPr>
      <w:numPr>
        <w:numId w:val="2"/>
      </w:numPr>
      <w:suppressAutoHyphens/>
      <w:ind w:right="-547"/>
      <w:jc w:val="both"/>
    </w:pPr>
    <w:rPr>
      <w:rFonts w:ascii="Courier New" w:eastAsia="Times New Roman" w:hAnsi="Courier New" w:cs="Courier New"/>
      <w:sz w:val="20"/>
      <w:szCs w:val="20"/>
      <w:lang w:eastAsia="ar-SA"/>
    </w:rPr>
  </w:style>
  <w:style w:type="character" w:customStyle="1" w:styleId="style381">
    <w:name w:val="style381"/>
    <w:rPr>
      <w:sz w:val="14"/>
      <w:szCs w:val="14"/>
    </w:rPr>
  </w:style>
  <w:style w:type="character" w:customStyle="1" w:styleId="headsmall">
    <w:name w:val="headsmall"/>
    <w:basedOn w:val="Fontepargpadro"/>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suppressAutoHyphens/>
      <w:jc w:val="both"/>
    </w:pPr>
    <w:rPr>
      <w:rFonts w:ascii="Tms Rmn" w:eastAsia="Times New Roman" w:hAnsi="Tms Rmn"/>
      <w:sz w:val="24"/>
      <w:szCs w:val="20"/>
      <w:lang w:eastAsia="ar-SA"/>
    </w:rPr>
  </w:style>
  <w:style w:type="character" w:styleId="Refdecomentrio">
    <w:name w:val="annotation reference"/>
    <w:rPr>
      <w:sz w:val="16"/>
      <w:szCs w:val="16"/>
    </w:rPr>
  </w:style>
  <w:style w:type="paragraph" w:styleId="Textodecomentrio">
    <w:name w:val="annotation text"/>
    <w:basedOn w:val="Normal"/>
    <w:link w:val="TextodecomentrioChar"/>
    <w:rPr>
      <w:rFonts w:ascii="Times New Roman" w:eastAsia="Times New Roman" w:hAnsi="Times New Roman"/>
      <w:sz w:val="20"/>
      <w:szCs w:val="20"/>
    </w:rPr>
  </w:style>
  <w:style w:type="character" w:customStyle="1" w:styleId="TextodecomentrioChar">
    <w:name w:val="Texto de comentário Char"/>
    <w:basedOn w:val="Fontepargpadro"/>
    <w:link w:val="Textodecomentrio"/>
    <w:rPr>
      <w:rFonts w:ascii="Times New Roman" w:eastAsia="Times New Roman" w:hAnsi="Times New Roman" w:cs="Times New Roman"/>
      <w:kern w:val="0"/>
      <w:sz w:val="20"/>
      <w:szCs w:val="20"/>
      <w:lang w:eastAsia="pt-BR"/>
      <w14:ligatures w14:val="none"/>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kern w:val="0"/>
      <w:sz w:val="20"/>
      <w:szCs w:val="20"/>
      <w:lang w:eastAsia="pt-BR"/>
      <w14:ligatures w14:val="none"/>
    </w:rPr>
  </w:style>
  <w:style w:type="paragraph" w:customStyle="1" w:styleId="xl27">
    <w:name w:val="xl27"/>
    <w:basedOn w:val="Normal"/>
    <w:pPr>
      <w:spacing w:before="100" w:beforeAutospacing="1" w:after="100" w:afterAutospacing="1"/>
      <w:jc w:val="center"/>
    </w:pPr>
    <w:rPr>
      <w:rFonts w:ascii="Arial" w:eastAsia="Arial Unicode MS" w:hAnsi="Arial"/>
      <w:sz w:val="24"/>
      <w:szCs w:val="24"/>
    </w:rPr>
  </w:style>
  <w:style w:type="paragraph" w:customStyle="1" w:styleId="font5">
    <w:name w:val="font5"/>
    <w:basedOn w:val="Normal"/>
    <w:pPr>
      <w:spacing w:before="100" w:beforeAutospacing="1" w:after="100" w:afterAutospacing="1"/>
    </w:pPr>
    <w:rPr>
      <w:rFonts w:eastAsia="Times New Roman"/>
      <w:color w:val="000000"/>
      <w:sz w:val="18"/>
      <w:szCs w:val="18"/>
    </w:rPr>
  </w:style>
  <w:style w:type="paragraph" w:customStyle="1" w:styleId="font6">
    <w:name w:val="font6"/>
    <w:basedOn w:val="Normal"/>
    <w:pPr>
      <w:spacing w:before="100" w:beforeAutospacing="1" w:after="100" w:afterAutospacing="1"/>
    </w:pPr>
    <w:rPr>
      <w:rFonts w:eastAsia="Times New Roman"/>
      <w:color w:val="000000"/>
      <w:sz w:val="18"/>
      <w:szCs w:val="18"/>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olor w:val="000000"/>
      <w:sz w:val="18"/>
      <w:szCs w:val="18"/>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jc w:val="both"/>
      <w:textAlignment w:val="center"/>
    </w:pPr>
    <w:rPr>
      <w:rFonts w:ascii="Times New Roman" w:eastAsia="Times New Roman" w:hAnsi="Times New Roman"/>
      <w:color w:val="000000"/>
      <w:sz w:val="18"/>
      <w:szCs w:val="18"/>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FF0000"/>
      <w:sz w:val="18"/>
      <w:szCs w:val="18"/>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4">
    <w:name w:val="xl74"/>
    <w:basedOn w:val="Normal"/>
    <w:pPr>
      <w:pBdr>
        <w:top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Pregaoquadromiolo">
    <w:name w:val="Pregao quadro miolo"/>
    <w:basedOn w:val="Normal"/>
    <w:pPr>
      <w:spacing w:line="260" w:lineRule="exact"/>
    </w:pPr>
    <w:rPr>
      <w:rFonts w:ascii="Arial" w:eastAsia="Times New Roman" w:hAnsi="Arial" w:cs="Arial"/>
      <w:sz w:val="20"/>
      <w:szCs w:val="24"/>
    </w:rPr>
  </w:style>
  <w:style w:type="character" w:customStyle="1" w:styleId="SemEspaamentoChar">
    <w:name w:val="Sem Espaçamento Char"/>
    <w:link w:val="SemEspaamento"/>
    <w:uiPriority w:val="1"/>
    <w:rPr>
      <w:rFonts w:ascii="Calibri" w:eastAsia="Times New Roman" w:hAnsi="Calibri" w:cs="Times New Roman"/>
      <w:kern w:val="0"/>
      <w:lang w:eastAsia="pt-BR"/>
      <w14:ligatures w14:val="none"/>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pPr>
    <w:rPr>
      <w:rFonts w:ascii="Arial" w:eastAsia="Lucida Sans Unicode" w:hAnsi="Arial" w:cs="Tahoma"/>
      <w:sz w:val="28"/>
      <w:szCs w:val="28"/>
      <w:lang w:eastAsia="ar-SA"/>
    </w:rPr>
  </w:style>
  <w:style w:type="paragraph" w:styleId="Legenda">
    <w:name w:val="caption"/>
    <w:basedOn w:val="Normal"/>
    <w:qFormat/>
    <w:pPr>
      <w:suppressLineNumbers/>
      <w:suppressAutoHyphens/>
      <w:spacing w:before="120" w:after="120"/>
    </w:pPr>
    <w:rPr>
      <w:rFonts w:ascii="Times New Roman" w:eastAsia="Times New Roman" w:hAnsi="Times New Roman" w:cs="Tahoma"/>
      <w:i/>
      <w:iCs/>
      <w:sz w:val="24"/>
      <w:szCs w:val="24"/>
      <w:lang w:eastAsia="ar-SA"/>
    </w:rPr>
  </w:style>
  <w:style w:type="paragraph" w:customStyle="1" w:styleId="ndice">
    <w:name w:val="Índice"/>
    <w:basedOn w:val="Normal"/>
    <w:pPr>
      <w:suppressLineNumbers/>
      <w:suppressAutoHyphens/>
    </w:pPr>
    <w:rPr>
      <w:rFonts w:ascii="Times New Roman" w:eastAsia="Times New Roman" w:hAnsi="Times New Roman" w:cs="Tahoma"/>
      <w:sz w:val="20"/>
      <w:szCs w:val="20"/>
      <w:lang w:eastAsia="ar-SA"/>
    </w:rPr>
  </w:style>
  <w:style w:type="paragraph" w:customStyle="1" w:styleId="Captulo">
    <w:name w:val="Capítulo"/>
    <w:basedOn w:val="Normal"/>
    <w:next w:val="Corpodetexto"/>
    <w:pPr>
      <w:keepNext/>
      <w:suppressAutoHyphens/>
      <w:spacing w:before="240" w:after="120"/>
    </w:pPr>
    <w:rPr>
      <w:rFonts w:ascii="Arial" w:eastAsia="Lucida Sans Unicode" w:hAnsi="Arial" w:cs="Tahoma"/>
      <w:sz w:val="28"/>
      <w:szCs w:val="28"/>
      <w:lang w:eastAsia="ar-SA"/>
    </w:rPr>
  </w:style>
  <w:style w:type="paragraph" w:customStyle="1" w:styleId="WW-Ttulo">
    <w:name w:val="WW-Título"/>
    <w:basedOn w:val="Normal"/>
    <w:next w:val="Corpodetexto"/>
    <w:pPr>
      <w:keepNext/>
      <w:suppressAutoHyphens/>
      <w:spacing w:before="240" w:after="120"/>
    </w:pPr>
    <w:rPr>
      <w:rFonts w:ascii="Arial" w:eastAsia="Arial Unicode MS" w:hAnsi="Arial" w:cs="Mangal"/>
      <w:sz w:val="28"/>
      <w:szCs w:val="28"/>
      <w:lang w:eastAsia="ar-SA"/>
    </w:rPr>
  </w:style>
  <w:style w:type="paragraph" w:customStyle="1" w:styleId="Legenda1">
    <w:name w:val="Legenda1"/>
    <w:basedOn w:val="Normal"/>
    <w:next w:val="Normal"/>
    <w:pPr>
      <w:suppressAutoHyphens/>
      <w:jc w:val="center"/>
    </w:pPr>
    <w:rPr>
      <w:rFonts w:ascii="Arial" w:eastAsia="Times New Roman" w:hAnsi="Arial" w:cs="Arial"/>
      <w:sz w:val="28"/>
      <w:szCs w:val="20"/>
      <w:lang w:eastAsia="ar-SA"/>
    </w:rPr>
  </w:style>
  <w:style w:type="paragraph" w:customStyle="1" w:styleId="Contedodetabela">
    <w:name w:val="Conteúdo de tabela"/>
    <w:basedOn w:val="Normal"/>
    <w:pPr>
      <w:suppressLineNumbers/>
      <w:suppressAutoHyphens/>
    </w:pPr>
    <w:rPr>
      <w:rFonts w:ascii="Times New Roman" w:eastAsia="Times New Roman" w:hAnsi="Times New Roman"/>
      <w:sz w:val="20"/>
      <w:szCs w:val="20"/>
      <w:lang w:eastAsia="ar-SA"/>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jc w:val="both"/>
      <w:textAlignment w:val="baseline"/>
    </w:pPr>
    <w:rPr>
      <w:rFonts w:ascii="Arial" w:eastAsia="Times New Roman" w:hAnsi="Arial"/>
      <w:spacing w:val="-3"/>
      <w:sz w:val="24"/>
      <w:szCs w:val="20"/>
      <w:lang w:val="en-US"/>
    </w:rPr>
  </w:style>
  <w:style w:type="paragraph" w:customStyle="1" w:styleId="PargrafodaLista1">
    <w:name w:val="Parágrafo da Lista1"/>
    <w:basedOn w:val="Normal"/>
    <w:pPr>
      <w:spacing w:after="200" w:line="276" w:lineRule="auto"/>
      <w:ind w:left="720"/>
    </w:pPr>
    <w:rPr>
      <w:rFonts w:eastAsia="Times New Roman"/>
    </w:rPr>
  </w:style>
  <w:style w:type="paragraph" w:customStyle="1" w:styleId="font7">
    <w:name w:val="font7"/>
    <w:basedOn w:val="Normal"/>
    <w:pPr>
      <w:spacing w:before="100" w:beforeAutospacing="1" w:after="100" w:afterAutospacing="1"/>
    </w:pPr>
    <w:rPr>
      <w:rFonts w:eastAsia="Times New Roman" w:cs="Calibri"/>
      <w:b/>
      <w:bCs/>
      <w:sz w:val="20"/>
      <w:szCs w:val="20"/>
      <w:u w:val="single"/>
    </w:rPr>
  </w:style>
  <w:style w:type="paragraph" w:customStyle="1" w:styleId="font8">
    <w:name w:val="font8"/>
    <w:basedOn w:val="Normal"/>
    <w:pPr>
      <w:spacing w:before="100" w:beforeAutospacing="1" w:after="100" w:afterAutospacing="1"/>
    </w:pPr>
    <w:rPr>
      <w:rFonts w:eastAsia="Times New Roman" w:cs="Calibri"/>
      <w:b/>
      <w:bCs/>
      <w:sz w:val="20"/>
      <w:szCs w:val="20"/>
    </w:rPr>
  </w:style>
  <w:style w:type="paragraph" w:customStyle="1" w:styleId="font9">
    <w:name w:val="font9"/>
    <w:basedOn w:val="Normal"/>
    <w:pPr>
      <w:spacing w:before="100" w:beforeAutospacing="1" w:after="100" w:afterAutospacing="1"/>
    </w:pPr>
    <w:rPr>
      <w:rFonts w:eastAsia="Times New Roman" w:cs="Calibri"/>
      <w:sz w:val="20"/>
      <w:szCs w:val="20"/>
      <w:u w:val="single"/>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sz w:val="20"/>
      <w:szCs w:val="20"/>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0">
    <w:name w:val="xl90"/>
    <w:basedOn w:val="Normal"/>
    <w:pPr>
      <w:pBdr>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1">
    <w:name w:val="xl91"/>
    <w:basedOn w:val="Normal"/>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5">
    <w:name w:val="xl95"/>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6">
    <w:name w:val="xl96"/>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7">
    <w:name w:val="xl97"/>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8">
    <w:name w:val="xl98"/>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101">
    <w:name w:val="xl101"/>
    <w:basedOn w:val="Normal"/>
    <w:pPr>
      <w:spacing w:before="100" w:beforeAutospacing="1" w:after="100" w:afterAutospacing="1"/>
      <w:jc w:val="center"/>
    </w:pPr>
    <w:rPr>
      <w:rFonts w:ascii="Times New Roman" w:eastAsia="Times New Roman" w:hAnsi="Times New Roman"/>
      <w:color w:val="FF0000"/>
      <w:sz w:val="20"/>
      <w:szCs w:val="20"/>
    </w:rPr>
  </w:style>
  <w:style w:type="paragraph" w:customStyle="1" w:styleId="xl102">
    <w:name w:val="xl102"/>
    <w:basedOn w:val="Normal"/>
    <w:pPr>
      <w:spacing w:before="100" w:beforeAutospacing="1" w:after="100" w:afterAutospacing="1"/>
      <w:jc w:val="both"/>
      <w:textAlignment w:val="center"/>
    </w:pPr>
    <w:rPr>
      <w:rFonts w:ascii="Times New Roman" w:eastAsia="Times New Roman" w:hAnsi="Times New Roman"/>
      <w:color w:val="FF0000"/>
      <w:sz w:val="20"/>
      <w:szCs w:val="20"/>
    </w:rPr>
  </w:style>
  <w:style w:type="paragraph" w:customStyle="1" w:styleId="xl103">
    <w:name w:val="xl103"/>
    <w:basedOn w:val="Normal"/>
    <w:pPr>
      <w:spacing w:before="100" w:beforeAutospacing="1" w:after="100" w:afterAutospacing="1"/>
      <w:jc w:val="center"/>
    </w:pPr>
    <w:rPr>
      <w:rFonts w:ascii="Times New Roman" w:eastAsia="Times New Roman" w:hAnsi="Times New Roman"/>
      <w:color w:val="FF0000"/>
      <w:sz w:val="20"/>
      <w:szCs w:val="20"/>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6">
    <w:name w:val="xl106"/>
    <w:basedOn w:val="Normal"/>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u w:val="single"/>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10">
    <w:name w:val="xl110"/>
    <w:basedOn w:val="Normal"/>
    <w:pPr>
      <w:spacing w:before="100" w:beforeAutospacing="1" w:after="100" w:afterAutospacing="1"/>
      <w:jc w:val="center"/>
    </w:pPr>
    <w:rPr>
      <w:rFonts w:ascii="Times New Roman" w:eastAsia="Times New Roman" w:hAnsi="Times New Roman"/>
      <w:sz w:val="20"/>
      <w:szCs w:val="20"/>
    </w:rPr>
  </w:style>
  <w:style w:type="paragraph" w:customStyle="1" w:styleId="xl111">
    <w:name w:val="xl111"/>
    <w:basedOn w:val="Normal"/>
    <w:pPr>
      <w:spacing w:before="100" w:beforeAutospacing="1" w:after="100" w:afterAutospacing="1"/>
      <w:jc w:val="both"/>
      <w:textAlignment w:val="center"/>
    </w:pPr>
    <w:rPr>
      <w:rFonts w:ascii="Times New Roman" w:eastAsia="Times New Roman" w:hAnsi="Times New Roman"/>
      <w:sz w:val="20"/>
      <w:szCs w:val="20"/>
    </w:rPr>
  </w:style>
  <w:style w:type="paragraph" w:customStyle="1" w:styleId="xl112">
    <w:name w:val="xl112"/>
    <w:basedOn w:val="Normal"/>
    <w:pPr>
      <w:spacing w:before="100" w:beforeAutospacing="1" w:after="100" w:afterAutospacing="1"/>
    </w:pPr>
    <w:rPr>
      <w:rFonts w:ascii="Times New Roman" w:eastAsia="Times New Roman" w:hAnsi="Times New Roman"/>
      <w:sz w:val="20"/>
      <w:szCs w:val="20"/>
    </w:rPr>
  </w:style>
  <w:style w:type="paragraph" w:customStyle="1" w:styleId="xl113">
    <w:name w:val="xl113"/>
    <w:basedOn w:val="Normal"/>
    <w:pPr>
      <w:spacing w:before="100" w:beforeAutospacing="1" w:after="100" w:afterAutospacing="1"/>
    </w:pPr>
    <w:rPr>
      <w:rFonts w:ascii="Times New Roman" w:eastAsia="Times New Roman" w:hAnsi="Times New Roman"/>
      <w:b/>
      <w:bCs/>
      <w:sz w:val="20"/>
      <w:szCs w:val="20"/>
    </w:rPr>
  </w:style>
  <w:style w:type="paragraph" w:customStyle="1" w:styleId="xl114">
    <w:name w:val="xl114"/>
    <w:basedOn w:val="Normal"/>
    <w:pPr>
      <w:spacing w:before="100" w:beforeAutospacing="1" w:after="100" w:afterAutospacing="1"/>
      <w:jc w:val="center"/>
    </w:pPr>
    <w:rPr>
      <w:rFonts w:ascii="Times New Roman" w:eastAsia="Times New Roman" w:hAnsi="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rPr>
  </w:style>
  <w:style w:type="paragraph" w:customStyle="1" w:styleId="xl116">
    <w:name w:val="xl116"/>
    <w:basedOn w:val="Normal"/>
    <w:pPr>
      <w:spacing w:before="100" w:beforeAutospacing="1" w:after="100" w:afterAutospacing="1"/>
      <w:jc w:val="center"/>
    </w:pPr>
    <w:rPr>
      <w:rFonts w:ascii="Times New Roman" w:eastAsia="Times New Roman" w:hAnsi="Times New Roman"/>
      <w:b/>
      <w:bCs/>
      <w:sz w:val="20"/>
      <w:szCs w:val="20"/>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b/>
      <w:bCs/>
      <w:sz w:val="20"/>
      <w:szCs w:val="20"/>
      <w:u w:val="single"/>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u w:val="single"/>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rPr>
  </w:style>
  <w:style w:type="paragraph" w:customStyle="1" w:styleId="xl120">
    <w:name w:val="xl120"/>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1">
    <w:name w:val="xl121"/>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2">
    <w:name w:val="xl122"/>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3">
    <w:name w:val="xl123"/>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sz w:val="20"/>
      <w:szCs w:val="20"/>
      <w:u w:val="single"/>
    </w:rPr>
  </w:style>
  <w:style w:type="paragraph" w:customStyle="1" w:styleId="xl126">
    <w:name w:val="xl126"/>
    <w:basedOn w:val="Normal"/>
    <w:pPr>
      <w:spacing w:before="100" w:beforeAutospacing="1" w:after="100" w:afterAutospacing="1"/>
    </w:pPr>
    <w:rPr>
      <w:rFonts w:ascii="Times New Roman" w:eastAsia="Times New Roman" w:hAnsi="Times New Roman"/>
      <w:color w:val="FF0000"/>
      <w:sz w:val="20"/>
      <w:szCs w:val="20"/>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u w:val="single"/>
    </w:rPr>
  </w:style>
  <w:style w:type="table" w:customStyle="1" w:styleId="Tabelacomgrade1">
    <w:name w:val="Tabela com grade1"/>
    <w:basedOn w:val="Tabelanormal"/>
    <w:next w:val="Tabelacomgrade"/>
    <w:uiPriority w:val="59"/>
    <w:pPr>
      <w:spacing w:after="0" w:line="240" w:lineRule="auto"/>
    </w:pPr>
    <w:rPr>
      <w:rFonts w:ascii="Calibri" w:eastAsia="Calibri" w:hAnsi="Calibri" w:cs="Calibri"/>
      <w:kern w:val="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Next w:val="0"/>
      <w:tabs>
        <w:tab w:val="left" w:pos="284"/>
      </w:tabs>
      <w:suppressAutoHyphens/>
      <w:spacing w:before="240" w:after="0"/>
      <w:ind w:left="720" w:hanging="360"/>
      <w:contextualSpacing/>
      <w:jc w:val="both"/>
      <w:outlineLvl w:val="9"/>
    </w:pPr>
    <w:rPr>
      <w:b/>
      <w:bCs/>
      <w:sz w:val="32"/>
      <w:szCs w:val="32"/>
    </w:rPr>
  </w:style>
  <w:style w:type="paragraph" w:styleId="Sumrio1">
    <w:name w:val="toc 1"/>
    <w:basedOn w:val="Normal"/>
    <w:next w:val="Normal"/>
    <w:autoRedefine/>
    <w:uiPriority w:val="39"/>
    <w:unhideWhenUsed/>
    <w:pPr>
      <w:spacing w:after="100"/>
    </w:pPr>
    <w:rPr>
      <w:rFonts w:ascii="Arial" w:hAnsi="Arial"/>
      <w:b/>
    </w:rPr>
  </w:style>
  <w:style w:type="character" w:customStyle="1" w:styleId="MenoPendente5">
    <w:name w:val="Menção Pendente5"/>
    <w:basedOn w:val="Fontepargpadro"/>
    <w:uiPriority w:val="99"/>
    <w:semiHidden/>
    <w:unhideWhenUsed/>
    <w:rPr>
      <w:color w:val="605E5C"/>
      <w:shd w:val="clear" w:color="auto" w:fill="E1DFDD"/>
    </w:rPr>
  </w:style>
  <w:style w:type="character" w:customStyle="1" w:styleId="PargrafodaListaChar">
    <w:name w:val="Parágrafo da Lista Char"/>
    <w:basedOn w:val="Fontepargpadro"/>
    <w:link w:val="PargrafodaLista"/>
    <w:uiPriority w:val="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s://www.planalto.gov.br/ccivil_03/_ato2011-2014/2013/lei/l12846.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Constituicao/Constituicao.htm" TargetMode="External"/><Relationship Id="rId55"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25art159"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1-2014/2013/lei/l12846.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_ato2011-2014/2013/lei/l12846.htm" TargetMode="External"/><Relationship Id="rId19" Type="http://schemas.openxmlformats.org/officeDocument/2006/relationships/hyperlink" Target="https://www.planalto.gov.br/ccivil_03/leis/l8078compilado.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municipios-licitacoes.tce.ce.gov.br/" TargetMode="Externa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theme" Target="theme/theme1.xml"/><Relationship Id="rId8" Type="http://schemas.openxmlformats.org/officeDocument/2006/relationships/hyperlink" Target="http://municipios.tce.ce.gov.br/transparencia/" TargetMode="External"/><Relationship Id="rId51" Type="http://schemas.openxmlformats.org/officeDocument/2006/relationships/hyperlink" Target="http://www.miraima.ce.gov.br/" TargetMode="External"/><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683</TotalTime>
  <Pages>75</Pages>
  <Words>31990</Words>
  <Characters>172752</Characters>
  <Application>Microsoft Office Word</Application>
  <DocSecurity>0</DocSecurity>
  <Lines>1439</Lines>
  <Paragraphs>408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204334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Vini lima8</dc:creator>
  <cp:keywords/>
  <dc:description/>
  <cp:lastModifiedBy>ADMIN</cp:lastModifiedBy>
  <cp:revision>67</cp:revision>
  <dcterms:created xsi:type="dcterms:W3CDTF">2025-09-22T17:40:00Z</dcterms:created>
  <dcterms:modified xsi:type="dcterms:W3CDTF">2026-05-14T15:18:00Z</dcterms:modified>
</cp:coreProperties>
</file>